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7083" w14:textId="77777777" w:rsidR="008C6823" w:rsidRDefault="008C6823" w:rsidP="0009568E">
      <w:pPr>
        <w:shd w:val="clear" w:color="auto" w:fill="FFFFFF"/>
        <w:rPr>
          <w:rFonts w:cs="Arial"/>
          <w:szCs w:val="22"/>
          <w:lang w:eastAsia="en-US"/>
        </w:rPr>
      </w:pPr>
      <w:r>
        <w:rPr>
          <w:rFonts w:cs="Arial"/>
          <w:szCs w:val="22"/>
          <w:lang w:eastAsia="en-US"/>
        </w:rPr>
        <w:t>[LETTERHEAD]</w:t>
      </w:r>
    </w:p>
    <w:p w14:paraId="3EC24102" w14:textId="77777777" w:rsidR="008C6823" w:rsidRDefault="008C6823" w:rsidP="0009568E">
      <w:pPr>
        <w:shd w:val="clear" w:color="auto" w:fill="FFFFFF"/>
        <w:rPr>
          <w:rFonts w:cs="Arial"/>
          <w:szCs w:val="22"/>
          <w:lang w:eastAsia="en-US"/>
        </w:rPr>
      </w:pPr>
    </w:p>
    <w:p w14:paraId="3D44C763" w14:textId="77777777" w:rsidR="0075619F" w:rsidRPr="00E8639B" w:rsidRDefault="0075619F" w:rsidP="0009568E">
      <w:pPr>
        <w:shd w:val="clear" w:color="auto" w:fill="FFFFFF"/>
        <w:rPr>
          <w:rFonts w:cs="Arial"/>
          <w:szCs w:val="22"/>
          <w:lang w:eastAsia="en-US"/>
        </w:rPr>
      </w:pPr>
      <w:r w:rsidRPr="00E8639B">
        <w:rPr>
          <w:rFonts w:cs="Arial"/>
          <w:szCs w:val="22"/>
          <w:lang w:eastAsia="en-US"/>
        </w:rPr>
        <w:t>[DATE]</w:t>
      </w:r>
    </w:p>
    <w:p w14:paraId="12A1FCC1" w14:textId="77777777" w:rsidR="0075619F" w:rsidRPr="00E8639B" w:rsidRDefault="0075619F" w:rsidP="00847E79">
      <w:pPr>
        <w:shd w:val="clear" w:color="auto" w:fill="FFFFFF"/>
        <w:rPr>
          <w:rFonts w:cs="Arial"/>
          <w:szCs w:val="22"/>
          <w:u w:val="single"/>
          <w:lang w:eastAsia="en-US"/>
        </w:rPr>
      </w:pPr>
    </w:p>
    <w:p w14:paraId="6B6A3F25" w14:textId="77777777" w:rsidR="0075619F" w:rsidRPr="00E8639B" w:rsidRDefault="0075619F" w:rsidP="00847E79">
      <w:pPr>
        <w:shd w:val="clear" w:color="auto" w:fill="FFFFFF"/>
        <w:rPr>
          <w:rFonts w:cs="Arial"/>
          <w:b/>
          <w:szCs w:val="22"/>
          <w:lang w:eastAsia="en-US"/>
        </w:rPr>
      </w:pPr>
      <w:r w:rsidRPr="00E8639B">
        <w:rPr>
          <w:rFonts w:cs="Arial"/>
          <w:b/>
          <w:szCs w:val="22"/>
          <w:u w:val="single"/>
          <w:lang w:eastAsia="en-US"/>
        </w:rPr>
        <w:t>VIA FIRST CLASS MAIL</w:t>
      </w:r>
    </w:p>
    <w:p w14:paraId="66054FC5" w14:textId="77777777" w:rsidR="0075619F" w:rsidRPr="00E8639B" w:rsidRDefault="0075619F" w:rsidP="00847E79">
      <w:pPr>
        <w:shd w:val="clear" w:color="auto" w:fill="FFFFFF"/>
        <w:rPr>
          <w:rFonts w:cs="Arial"/>
          <w:szCs w:val="22"/>
          <w:lang w:eastAsia="en-US"/>
        </w:rPr>
      </w:pPr>
      <w:r w:rsidRPr="00E8639B">
        <w:rPr>
          <w:rFonts w:cs="Arial"/>
          <w:szCs w:val="22"/>
          <w:lang w:eastAsia="en-US"/>
        </w:rPr>
        <w:t>Sheriff [Add Name Here]</w:t>
      </w:r>
    </w:p>
    <w:p w14:paraId="74D236F8" w14:textId="77777777" w:rsidR="0075619F" w:rsidRPr="00E8639B" w:rsidRDefault="0075619F" w:rsidP="00847E79">
      <w:pPr>
        <w:shd w:val="clear" w:color="auto" w:fill="FFFFFF"/>
        <w:rPr>
          <w:rFonts w:cs="Arial"/>
          <w:szCs w:val="22"/>
          <w:lang w:eastAsia="en-US"/>
        </w:rPr>
      </w:pPr>
      <w:r w:rsidRPr="00E8639B">
        <w:rPr>
          <w:rFonts w:cs="Arial"/>
          <w:szCs w:val="22"/>
          <w:lang w:eastAsia="en-US"/>
        </w:rPr>
        <w:t xml:space="preserve">[(County Name] County Sheriff’s </w:t>
      </w:r>
      <w:proofErr w:type="gramStart"/>
      <w:r w:rsidRPr="00E8639B">
        <w:rPr>
          <w:rFonts w:cs="Arial"/>
          <w:szCs w:val="22"/>
          <w:lang w:eastAsia="en-US"/>
        </w:rPr>
        <w:t>Office[</w:t>
      </w:r>
      <w:proofErr w:type="gramEnd"/>
    </w:p>
    <w:p w14:paraId="3F93B258" w14:textId="77777777" w:rsidR="0075619F" w:rsidRPr="00E8639B" w:rsidRDefault="0075619F" w:rsidP="00847E79">
      <w:pPr>
        <w:shd w:val="clear" w:color="auto" w:fill="FFFFFF"/>
        <w:rPr>
          <w:rFonts w:cs="Arial"/>
          <w:szCs w:val="22"/>
          <w:lang w:eastAsia="en-US"/>
        </w:rPr>
      </w:pPr>
      <w:r w:rsidRPr="00E8639B">
        <w:rPr>
          <w:rFonts w:cs="Arial"/>
          <w:szCs w:val="22"/>
          <w:lang w:eastAsia="en-US"/>
        </w:rPr>
        <w:t>[Street Address]</w:t>
      </w:r>
    </w:p>
    <w:p w14:paraId="202DA353" w14:textId="77777777" w:rsidR="0075619F" w:rsidRPr="00E8639B" w:rsidRDefault="0075619F" w:rsidP="00847E79">
      <w:pPr>
        <w:shd w:val="clear" w:color="auto" w:fill="FFFFFF"/>
        <w:rPr>
          <w:rFonts w:cs="Arial"/>
          <w:szCs w:val="22"/>
          <w:lang w:eastAsia="en-US"/>
        </w:rPr>
      </w:pPr>
      <w:r w:rsidRPr="00E8639B">
        <w:rPr>
          <w:rFonts w:cs="Arial"/>
          <w:szCs w:val="22"/>
          <w:lang w:eastAsia="en-US"/>
        </w:rPr>
        <w:t xml:space="preserve">[City], </w:t>
      </w:r>
      <w:proofErr w:type="gramStart"/>
      <w:r w:rsidRPr="00E8639B">
        <w:rPr>
          <w:rFonts w:cs="Arial"/>
          <w:szCs w:val="22"/>
          <w:lang w:eastAsia="en-US"/>
        </w:rPr>
        <w:t>CA  XXXXX</w:t>
      </w:r>
      <w:proofErr w:type="gramEnd"/>
      <w:r w:rsidRPr="00E8639B">
        <w:rPr>
          <w:rFonts w:cs="Arial"/>
          <w:szCs w:val="22"/>
          <w:lang w:eastAsia="en-US"/>
        </w:rPr>
        <w:t>-XXXX</w:t>
      </w:r>
    </w:p>
    <w:p w14:paraId="11DF7A53" w14:textId="77777777" w:rsidR="0075619F" w:rsidRPr="00E8639B" w:rsidRDefault="0075619F" w:rsidP="00847E79">
      <w:pPr>
        <w:shd w:val="clear" w:color="auto" w:fill="FFFFFF"/>
        <w:rPr>
          <w:rFonts w:cs="Arial"/>
          <w:szCs w:val="22"/>
          <w:lang w:eastAsia="en-US"/>
        </w:rPr>
      </w:pPr>
    </w:p>
    <w:p w14:paraId="45648D75" w14:textId="31DC2AA8" w:rsidR="0075619F" w:rsidRPr="00E8639B" w:rsidRDefault="0075619F" w:rsidP="009974F0">
      <w:pPr>
        <w:shd w:val="clear" w:color="auto" w:fill="FFFFFF"/>
        <w:ind w:left="1440" w:hanging="720"/>
        <w:rPr>
          <w:rFonts w:cs="Arial"/>
          <w:b/>
          <w:szCs w:val="22"/>
          <w:lang w:eastAsia="en-US"/>
        </w:rPr>
      </w:pPr>
      <w:r w:rsidRPr="00E8639B">
        <w:rPr>
          <w:rFonts w:cs="Arial"/>
          <w:b/>
          <w:szCs w:val="22"/>
          <w:lang w:eastAsia="en-US"/>
        </w:rPr>
        <w:t>RE:</w:t>
      </w:r>
      <w:r w:rsidRPr="00E8639B">
        <w:rPr>
          <w:rFonts w:cs="Arial"/>
          <w:b/>
          <w:szCs w:val="22"/>
          <w:lang w:eastAsia="en-US"/>
        </w:rPr>
        <w:tab/>
        <w:t>The Replacement of the Secure Communities Program (“S-Comm”) with the Priority Enforcement Program (“PEP</w:t>
      </w:r>
      <w:r w:rsidR="00872C6C">
        <w:rPr>
          <w:rFonts w:cs="Arial"/>
          <w:b/>
          <w:szCs w:val="22"/>
          <w:lang w:eastAsia="en-US"/>
        </w:rPr>
        <w:t>-Comm”)</w:t>
      </w:r>
    </w:p>
    <w:p w14:paraId="3D938A09" w14:textId="77777777" w:rsidR="0075619F" w:rsidRPr="00E8639B" w:rsidRDefault="0075619F" w:rsidP="00847E79">
      <w:pPr>
        <w:shd w:val="clear" w:color="auto" w:fill="FFFFFF"/>
        <w:rPr>
          <w:rFonts w:cs="Arial"/>
          <w:b/>
          <w:szCs w:val="22"/>
          <w:lang w:eastAsia="en-US"/>
        </w:rPr>
      </w:pPr>
    </w:p>
    <w:p w14:paraId="60234E83" w14:textId="77777777" w:rsidR="0075619F" w:rsidRPr="00E8639B" w:rsidRDefault="0075619F" w:rsidP="00847E79">
      <w:pPr>
        <w:shd w:val="clear" w:color="auto" w:fill="FFFFFF"/>
        <w:rPr>
          <w:rFonts w:cs="Arial"/>
          <w:szCs w:val="22"/>
          <w:lang w:eastAsia="en-US"/>
        </w:rPr>
      </w:pPr>
      <w:r w:rsidRPr="00E8639B">
        <w:rPr>
          <w:rFonts w:cs="Arial"/>
          <w:szCs w:val="22"/>
          <w:lang w:eastAsia="en-US"/>
        </w:rPr>
        <w:t>Dear Sheriff [Last Name]:</w:t>
      </w:r>
    </w:p>
    <w:p w14:paraId="4587F039" w14:textId="77777777" w:rsidR="0075619F" w:rsidRPr="00E8639B" w:rsidRDefault="0075619F" w:rsidP="00847E79">
      <w:pPr>
        <w:shd w:val="clear" w:color="auto" w:fill="FFFFFF"/>
        <w:rPr>
          <w:rFonts w:cs="Arial"/>
          <w:szCs w:val="22"/>
          <w:lang w:eastAsia="en-US"/>
        </w:rPr>
      </w:pPr>
      <w:r w:rsidRPr="00E8639B">
        <w:rPr>
          <w:rFonts w:cs="Arial"/>
          <w:szCs w:val="22"/>
          <w:lang w:eastAsia="en-US"/>
        </w:rPr>
        <w:tab/>
      </w:r>
    </w:p>
    <w:p w14:paraId="0B17A57C" w14:textId="5947F0DA" w:rsidR="0075619F" w:rsidRPr="00E8639B" w:rsidRDefault="0075619F" w:rsidP="00847E79">
      <w:pPr>
        <w:shd w:val="clear" w:color="auto" w:fill="FFFFFF"/>
        <w:rPr>
          <w:rFonts w:cs="Arial"/>
          <w:szCs w:val="22"/>
          <w:lang w:eastAsia="en-US"/>
        </w:rPr>
      </w:pPr>
      <w:r w:rsidRPr="00E8639B">
        <w:rPr>
          <w:rFonts w:cs="Arial"/>
          <w:szCs w:val="22"/>
          <w:lang w:eastAsia="en-US"/>
        </w:rPr>
        <w:tab/>
        <w:t xml:space="preserve">We are writing to alert you of the recent changes </w:t>
      </w:r>
      <w:r w:rsidR="0009568E" w:rsidRPr="00E8639B">
        <w:rPr>
          <w:rFonts w:cs="Arial"/>
          <w:szCs w:val="22"/>
          <w:lang w:eastAsia="en-US"/>
        </w:rPr>
        <w:t xml:space="preserve">to Immigration and Custom Enforcement’s (ICE) </w:t>
      </w:r>
      <w:r w:rsidRPr="00E8639B">
        <w:rPr>
          <w:rFonts w:cs="Arial"/>
          <w:szCs w:val="22"/>
          <w:lang w:eastAsia="en-US"/>
        </w:rPr>
        <w:t xml:space="preserve">Secure Communities Program (“S-Comm”).  </w:t>
      </w:r>
      <w:r w:rsidR="0009568E" w:rsidRPr="00E8639B">
        <w:rPr>
          <w:rFonts w:cs="Arial"/>
          <w:szCs w:val="22"/>
          <w:lang w:eastAsia="en-US"/>
        </w:rPr>
        <w:t xml:space="preserve">On November 20, 2014, the Department of Homeland Security (DHS) </w:t>
      </w:r>
      <w:r w:rsidR="00EC1434" w:rsidRPr="00E8639B">
        <w:rPr>
          <w:rFonts w:cs="Arial"/>
          <w:szCs w:val="22"/>
          <w:lang w:eastAsia="en-US"/>
        </w:rPr>
        <w:t>announced that it will reboot the S-Comm program with the new name, “Priority Enforcement Program” (“PEP” or “PEP-Comm”).</w:t>
      </w:r>
      <w:r w:rsidR="00030085">
        <w:rPr>
          <w:rStyle w:val="FootnoteReference"/>
          <w:szCs w:val="22"/>
          <w:lang w:eastAsia="en-US"/>
        </w:rPr>
        <w:footnoteReference w:id="1"/>
      </w:r>
      <w:r w:rsidR="00872C6C">
        <w:rPr>
          <w:rFonts w:cs="Arial"/>
          <w:szCs w:val="22"/>
          <w:lang w:eastAsia="en-US"/>
        </w:rPr>
        <w:t xml:space="preserve">  DHS acknowledged that the </w:t>
      </w:r>
      <w:r w:rsidR="00EC1434" w:rsidRPr="00E8639B">
        <w:rPr>
          <w:rFonts w:cs="Arial"/>
          <w:szCs w:val="22"/>
          <w:lang w:eastAsia="en-US"/>
        </w:rPr>
        <w:t>Secure Communities Program's “very name has become a symbol for general hostility toward” deportation policy, and that “governors, mayors, and state and local law enforcement officials across the country” had signed laws or orders to prohibit collaboration with the program.</w:t>
      </w:r>
      <w:r w:rsidR="00324DA5">
        <w:rPr>
          <w:rStyle w:val="FootnoteReference"/>
          <w:szCs w:val="22"/>
          <w:lang w:eastAsia="en-US"/>
        </w:rPr>
        <w:footnoteReference w:id="2"/>
      </w:r>
      <w:r w:rsidR="00EC1434" w:rsidRPr="00E8639B">
        <w:rPr>
          <w:rFonts w:cs="Arial"/>
          <w:szCs w:val="22"/>
          <w:lang w:eastAsia="en-US"/>
        </w:rPr>
        <w:t xml:space="preserve">  DHS also </w:t>
      </w:r>
      <w:r w:rsidR="0009568E" w:rsidRPr="00E8639B">
        <w:rPr>
          <w:rFonts w:cs="Arial"/>
          <w:szCs w:val="22"/>
          <w:lang w:eastAsia="en-US"/>
        </w:rPr>
        <w:t>recognized that ICE hold request</w:t>
      </w:r>
      <w:r w:rsidR="00030085">
        <w:rPr>
          <w:rFonts w:cs="Arial"/>
          <w:szCs w:val="22"/>
          <w:lang w:eastAsia="en-US"/>
        </w:rPr>
        <w:t>s</w:t>
      </w:r>
      <w:r w:rsidR="0009568E" w:rsidRPr="00E8639B">
        <w:rPr>
          <w:rFonts w:cs="Arial"/>
          <w:szCs w:val="22"/>
          <w:lang w:eastAsia="en-US"/>
        </w:rPr>
        <w:t xml:space="preserve"> pose Fourth Amendment concerns and undercut c</w:t>
      </w:r>
      <w:r w:rsidR="006817C9">
        <w:rPr>
          <w:rFonts w:cs="Arial"/>
          <w:szCs w:val="22"/>
          <w:lang w:eastAsia="en-US"/>
        </w:rPr>
        <w:t xml:space="preserve">ommunity </w:t>
      </w:r>
      <w:r w:rsidR="00EC1434" w:rsidRPr="00E8639B">
        <w:rPr>
          <w:rFonts w:cs="Arial"/>
          <w:szCs w:val="22"/>
          <w:lang w:eastAsia="en-US"/>
        </w:rPr>
        <w:t xml:space="preserve">policing efforts.  </w:t>
      </w:r>
      <w:r w:rsidR="0009568E" w:rsidRPr="00E8639B">
        <w:rPr>
          <w:rFonts w:cs="Arial"/>
          <w:szCs w:val="22"/>
          <w:lang w:eastAsia="en-US"/>
        </w:rPr>
        <w:t xml:space="preserve">Unfortunately, PEP-Comm contains many of </w:t>
      </w:r>
      <w:r w:rsidRPr="00E8639B">
        <w:rPr>
          <w:rFonts w:cs="Arial"/>
          <w:szCs w:val="22"/>
          <w:lang w:eastAsia="en-US"/>
        </w:rPr>
        <w:t>its predecessor’s pitfal</w:t>
      </w:r>
      <w:r w:rsidR="0009568E" w:rsidRPr="00E8639B">
        <w:rPr>
          <w:rFonts w:cs="Arial"/>
          <w:szCs w:val="22"/>
          <w:lang w:eastAsia="en-US"/>
        </w:rPr>
        <w:t xml:space="preserve">ls and failings, which opened </w:t>
      </w:r>
      <w:r w:rsidRPr="00E8639B">
        <w:rPr>
          <w:rFonts w:cs="Arial"/>
          <w:szCs w:val="22"/>
          <w:lang w:eastAsia="en-US"/>
        </w:rPr>
        <w:t xml:space="preserve">state and local law enforcement agencies to widespread criticism and legal liability.  For reasons that will be discussed in this letter, we urge you to adopt a </w:t>
      </w:r>
      <w:r w:rsidRPr="00E8639B">
        <w:rPr>
          <w:rFonts w:cs="Arial"/>
          <w:b/>
          <w:szCs w:val="22"/>
          <w:u w:val="single"/>
          <w:lang w:eastAsia="en-US"/>
        </w:rPr>
        <w:t xml:space="preserve">no </w:t>
      </w:r>
      <w:r w:rsidR="00E007F3">
        <w:rPr>
          <w:rFonts w:cs="Arial"/>
          <w:b/>
          <w:szCs w:val="22"/>
          <w:u w:val="single"/>
          <w:lang w:eastAsia="en-US"/>
        </w:rPr>
        <w:t xml:space="preserve">ICE </w:t>
      </w:r>
      <w:r w:rsidRPr="00E8639B">
        <w:rPr>
          <w:rFonts w:cs="Arial"/>
          <w:b/>
          <w:szCs w:val="22"/>
          <w:u w:val="single"/>
          <w:lang w:eastAsia="en-US"/>
        </w:rPr>
        <w:t>notification</w:t>
      </w:r>
      <w:r w:rsidRPr="00E8639B">
        <w:rPr>
          <w:rFonts w:cs="Arial"/>
          <w:szCs w:val="22"/>
          <w:lang w:eastAsia="en-US"/>
        </w:rPr>
        <w:t xml:space="preserve"> policy in your County.</w:t>
      </w:r>
    </w:p>
    <w:p w14:paraId="2534334E" w14:textId="77777777" w:rsidR="0075619F" w:rsidRPr="00E8639B" w:rsidRDefault="0075619F" w:rsidP="00847E79">
      <w:pPr>
        <w:shd w:val="clear" w:color="auto" w:fill="FFFFFF"/>
        <w:rPr>
          <w:rFonts w:cs="Arial"/>
          <w:szCs w:val="22"/>
          <w:lang w:eastAsia="en-US"/>
        </w:rPr>
      </w:pPr>
    </w:p>
    <w:p w14:paraId="5EA10616" w14:textId="77777777" w:rsidR="0075619F" w:rsidRPr="00E8639B" w:rsidRDefault="00471416" w:rsidP="00EA4106">
      <w:pPr>
        <w:shd w:val="clear" w:color="auto" w:fill="FFFFFF"/>
        <w:jc w:val="center"/>
        <w:rPr>
          <w:rFonts w:cs="Arial"/>
          <w:b/>
          <w:smallCaps/>
          <w:szCs w:val="22"/>
          <w:u w:val="single"/>
          <w:lang w:eastAsia="en-US"/>
        </w:rPr>
      </w:pPr>
      <w:r w:rsidRPr="00E8639B">
        <w:rPr>
          <w:rFonts w:cs="Arial"/>
          <w:b/>
          <w:smallCaps/>
          <w:szCs w:val="22"/>
          <w:u w:val="single"/>
          <w:lang w:eastAsia="en-US"/>
        </w:rPr>
        <w:t xml:space="preserve">PEP-Comm Shares </w:t>
      </w:r>
      <w:r w:rsidR="0075619F" w:rsidRPr="00E8639B">
        <w:rPr>
          <w:rFonts w:cs="Arial"/>
          <w:b/>
          <w:smallCaps/>
          <w:szCs w:val="22"/>
          <w:u w:val="single"/>
          <w:lang w:eastAsia="en-US"/>
        </w:rPr>
        <w:t>S-Comm’s Failings</w:t>
      </w:r>
    </w:p>
    <w:p w14:paraId="62735028" w14:textId="77777777" w:rsidR="0075619F" w:rsidRPr="00E8639B" w:rsidRDefault="0075619F" w:rsidP="00EA4106">
      <w:pPr>
        <w:shd w:val="clear" w:color="auto" w:fill="FFFFFF"/>
        <w:rPr>
          <w:rFonts w:cs="Arial"/>
          <w:b/>
          <w:smallCaps/>
          <w:szCs w:val="22"/>
          <w:u w:val="single"/>
          <w:lang w:eastAsia="en-US"/>
        </w:rPr>
      </w:pPr>
    </w:p>
    <w:p w14:paraId="7CD70A62" w14:textId="77777777" w:rsidR="00471416" w:rsidRPr="00E8639B" w:rsidRDefault="0075619F" w:rsidP="00EC1434">
      <w:pPr>
        <w:pStyle w:val="Default"/>
        <w:rPr>
          <w:rFonts w:cs="Arial"/>
          <w:sz w:val="22"/>
          <w:szCs w:val="22"/>
        </w:rPr>
      </w:pPr>
      <w:r w:rsidRPr="00E8639B">
        <w:rPr>
          <w:sz w:val="22"/>
          <w:szCs w:val="22"/>
        </w:rPr>
        <w:tab/>
      </w:r>
      <w:r w:rsidR="00F05CCC" w:rsidRPr="00E8639B">
        <w:rPr>
          <w:rFonts w:cs="Arial"/>
          <w:sz w:val="22"/>
          <w:szCs w:val="22"/>
        </w:rPr>
        <w:t>Like S-Comm, PEP-Comm will rely on “fingerprint-based biometric data” submitted when state and local law enforcement agencies book an individual into custody.  T</w:t>
      </w:r>
      <w:r w:rsidR="00471416" w:rsidRPr="00E8639B">
        <w:rPr>
          <w:rFonts w:cs="Arial"/>
          <w:sz w:val="22"/>
          <w:szCs w:val="22"/>
        </w:rPr>
        <w:t>he fingerprints will continue to be</w:t>
      </w:r>
      <w:r w:rsidR="00F05CCC" w:rsidRPr="00E8639B">
        <w:rPr>
          <w:rFonts w:cs="Arial"/>
          <w:sz w:val="22"/>
          <w:szCs w:val="22"/>
        </w:rPr>
        <w:t xml:space="preserve"> sent to DHS for an immigration background check to identify individuals who may be deportable.  This immigration check </w:t>
      </w:r>
      <w:r w:rsidR="00471416" w:rsidRPr="00E8639B">
        <w:rPr>
          <w:rFonts w:cs="Arial"/>
          <w:sz w:val="22"/>
          <w:szCs w:val="22"/>
        </w:rPr>
        <w:t>will occur</w:t>
      </w:r>
      <w:r w:rsidR="00F05CCC" w:rsidRPr="00E8639B">
        <w:rPr>
          <w:rFonts w:cs="Arial"/>
          <w:sz w:val="22"/>
          <w:szCs w:val="22"/>
        </w:rPr>
        <w:t xml:space="preserve"> before the individual receives any form of due process in the criminal case—before charges are filed and before s/he is appointed an attorney.  </w:t>
      </w:r>
      <w:r w:rsidR="000B255A" w:rsidRPr="00E8639B">
        <w:rPr>
          <w:rFonts w:cs="Arial"/>
          <w:sz w:val="22"/>
          <w:szCs w:val="22"/>
        </w:rPr>
        <w:t>PEP-Comm will continue to erode community trust in local police because all fingerprints taken by local law enforcement will be transmitted to DHS for an immigration background check.</w:t>
      </w:r>
    </w:p>
    <w:p w14:paraId="60B65B78" w14:textId="77777777" w:rsidR="00471416" w:rsidRPr="00E8639B" w:rsidRDefault="00471416" w:rsidP="00EC1434">
      <w:pPr>
        <w:pStyle w:val="Default"/>
        <w:rPr>
          <w:rFonts w:cs="Arial"/>
          <w:sz w:val="22"/>
          <w:szCs w:val="22"/>
        </w:rPr>
      </w:pPr>
    </w:p>
    <w:p w14:paraId="7F8D3982" w14:textId="4B4294FA" w:rsidR="00471416" w:rsidRPr="00872C6C" w:rsidRDefault="00F61F84" w:rsidP="00872C6C">
      <w:pPr>
        <w:pStyle w:val="Default"/>
        <w:ind w:firstLine="720"/>
        <w:rPr>
          <w:sz w:val="22"/>
          <w:szCs w:val="22"/>
        </w:rPr>
      </w:pPr>
      <w:r w:rsidRPr="00E8639B">
        <w:rPr>
          <w:sz w:val="22"/>
          <w:szCs w:val="22"/>
        </w:rPr>
        <w:t>The main</w:t>
      </w:r>
      <w:r w:rsidR="00DD311B">
        <w:rPr>
          <w:sz w:val="22"/>
          <w:szCs w:val="22"/>
        </w:rPr>
        <w:t xml:space="preserve"> </w:t>
      </w:r>
      <w:r w:rsidR="00030085" w:rsidRPr="00E8639B">
        <w:rPr>
          <w:sz w:val="22"/>
          <w:szCs w:val="22"/>
        </w:rPr>
        <w:t>difference</w:t>
      </w:r>
      <w:r w:rsidRPr="00E8639B">
        <w:rPr>
          <w:sz w:val="22"/>
          <w:szCs w:val="22"/>
        </w:rPr>
        <w:t xml:space="preserve"> between S-Comm and </w:t>
      </w:r>
      <w:r w:rsidR="00471416" w:rsidRPr="00E8639B">
        <w:rPr>
          <w:sz w:val="22"/>
          <w:szCs w:val="22"/>
        </w:rPr>
        <w:t>PEP-Comm</w:t>
      </w:r>
      <w:r w:rsidRPr="00E8639B">
        <w:rPr>
          <w:sz w:val="22"/>
          <w:szCs w:val="22"/>
        </w:rPr>
        <w:t xml:space="preserve"> is that PEP-Comm</w:t>
      </w:r>
      <w:r w:rsidR="00471416" w:rsidRPr="00E8639B">
        <w:rPr>
          <w:sz w:val="22"/>
          <w:szCs w:val="22"/>
        </w:rPr>
        <w:t xml:space="preserve"> “</w:t>
      </w:r>
      <w:proofErr w:type="gramStart"/>
      <w:r w:rsidR="00471416" w:rsidRPr="00E8639B">
        <w:rPr>
          <w:sz w:val="22"/>
          <w:szCs w:val="22"/>
        </w:rPr>
        <w:t>replac[</w:t>
      </w:r>
      <w:proofErr w:type="gramEnd"/>
      <w:r w:rsidR="00471416" w:rsidRPr="00E8639B">
        <w:rPr>
          <w:sz w:val="22"/>
          <w:szCs w:val="22"/>
        </w:rPr>
        <w:t xml:space="preserve">es] requests for </w:t>
      </w:r>
      <w:r w:rsidR="00471416" w:rsidRPr="00E8639B">
        <w:rPr>
          <w:b/>
          <w:sz w:val="22"/>
          <w:szCs w:val="22"/>
          <w:u w:val="single"/>
        </w:rPr>
        <w:t>detention</w:t>
      </w:r>
      <w:r w:rsidR="00324DA5">
        <w:rPr>
          <w:sz w:val="22"/>
          <w:szCs w:val="22"/>
        </w:rPr>
        <w:t xml:space="preserve"> </w:t>
      </w:r>
      <w:r w:rsidR="00471416" w:rsidRPr="00E8639B">
        <w:rPr>
          <w:i/>
          <w:iCs/>
          <w:sz w:val="22"/>
          <w:szCs w:val="22"/>
        </w:rPr>
        <w:t xml:space="preserve">i.e., </w:t>
      </w:r>
      <w:r w:rsidR="00471416" w:rsidRPr="00E8639B">
        <w:rPr>
          <w:sz w:val="22"/>
          <w:szCs w:val="22"/>
        </w:rPr>
        <w:t xml:space="preserve">requests that an agency hold an individual beyond the point at which they would otherwise be released) with requests for </w:t>
      </w:r>
      <w:r w:rsidR="00471416" w:rsidRPr="00E8639B">
        <w:rPr>
          <w:b/>
          <w:sz w:val="22"/>
          <w:szCs w:val="22"/>
          <w:u w:val="single"/>
        </w:rPr>
        <w:t>notification</w:t>
      </w:r>
      <w:r w:rsidR="00324DA5">
        <w:rPr>
          <w:sz w:val="22"/>
          <w:szCs w:val="22"/>
        </w:rPr>
        <w:t xml:space="preserve"> </w:t>
      </w:r>
      <w:r w:rsidR="00471416" w:rsidRPr="00E8639B">
        <w:rPr>
          <w:iCs/>
          <w:sz w:val="22"/>
          <w:szCs w:val="22"/>
        </w:rPr>
        <w:t>(</w:t>
      </w:r>
      <w:r w:rsidR="00471416" w:rsidRPr="00E8639B">
        <w:rPr>
          <w:i/>
          <w:iCs/>
          <w:sz w:val="22"/>
          <w:szCs w:val="22"/>
        </w:rPr>
        <w:t xml:space="preserve">i.e., </w:t>
      </w:r>
      <w:r w:rsidR="00471416" w:rsidRPr="00E8639B">
        <w:rPr>
          <w:sz w:val="22"/>
          <w:szCs w:val="22"/>
        </w:rPr>
        <w:t>requests that state or local law enforcement notify ICE of a pending release</w:t>
      </w:r>
      <w:r w:rsidRPr="00E8639B">
        <w:rPr>
          <w:sz w:val="22"/>
          <w:szCs w:val="22"/>
        </w:rPr>
        <w:t>).”</w:t>
      </w:r>
      <w:r w:rsidR="00872C6C">
        <w:rPr>
          <w:rStyle w:val="FootnoteReference"/>
          <w:sz w:val="22"/>
          <w:szCs w:val="22"/>
        </w:rPr>
        <w:footnoteReference w:id="3"/>
      </w:r>
      <w:r w:rsidRPr="00E8639B">
        <w:rPr>
          <w:sz w:val="22"/>
          <w:szCs w:val="22"/>
        </w:rPr>
        <w:t xml:space="preserve">  However, PEP-Comm</w:t>
      </w:r>
      <w:r w:rsidR="00324DA5">
        <w:rPr>
          <w:sz w:val="22"/>
          <w:szCs w:val="22"/>
        </w:rPr>
        <w:t xml:space="preserve"> </w:t>
      </w:r>
      <w:r w:rsidR="00DD311B">
        <w:rPr>
          <w:sz w:val="22"/>
          <w:szCs w:val="22"/>
        </w:rPr>
        <w:t xml:space="preserve">still </w:t>
      </w:r>
      <w:r w:rsidR="00471416" w:rsidRPr="00E8639B">
        <w:rPr>
          <w:sz w:val="22"/>
          <w:szCs w:val="22"/>
        </w:rPr>
        <w:t>preserves immigration</w:t>
      </w:r>
      <w:r w:rsidR="000B255A" w:rsidRPr="00E8639B">
        <w:rPr>
          <w:sz w:val="22"/>
          <w:szCs w:val="22"/>
        </w:rPr>
        <w:t xml:space="preserve"> hold</w:t>
      </w:r>
      <w:r w:rsidR="00471416" w:rsidRPr="00E8639B">
        <w:rPr>
          <w:sz w:val="22"/>
          <w:szCs w:val="22"/>
        </w:rPr>
        <w:t xml:space="preserve"> requ</w:t>
      </w:r>
      <w:r w:rsidR="000B255A" w:rsidRPr="00E8639B">
        <w:rPr>
          <w:sz w:val="22"/>
          <w:szCs w:val="22"/>
        </w:rPr>
        <w:t>ests for “special circumstances.</w:t>
      </w:r>
      <w:r w:rsidR="004B602A" w:rsidRPr="00E8639B">
        <w:rPr>
          <w:sz w:val="22"/>
          <w:szCs w:val="22"/>
        </w:rPr>
        <w:t xml:space="preserve">”  </w:t>
      </w:r>
      <w:r w:rsidR="00872C6C">
        <w:rPr>
          <w:sz w:val="22"/>
          <w:szCs w:val="22"/>
        </w:rPr>
        <w:t>It is unclear which</w:t>
      </w:r>
      <w:r w:rsidR="000B255A" w:rsidRPr="00E8639B">
        <w:rPr>
          <w:sz w:val="22"/>
          <w:szCs w:val="22"/>
        </w:rPr>
        <w:t xml:space="preserve"> cases will fall under “special circumstances</w:t>
      </w:r>
      <w:r w:rsidR="00324DA5">
        <w:rPr>
          <w:sz w:val="22"/>
          <w:szCs w:val="22"/>
        </w:rPr>
        <w:t>,”</w:t>
      </w:r>
      <w:r w:rsidR="000B255A" w:rsidRPr="00E8639B">
        <w:rPr>
          <w:sz w:val="22"/>
          <w:szCs w:val="22"/>
        </w:rPr>
        <w:t xml:space="preserve"> as DHS has not </w:t>
      </w:r>
      <w:r w:rsidR="000B255A" w:rsidRPr="00E8639B">
        <w:rPr>
          <w:sz w:val="22"/>
          <w:szCs w:val="22"/>
        </w:rPr>
        <w:lastRenderedPageBreak/>
        <w:t xml:space="preserve">provided any details.  However, what is clear is that by continuing to </w:t>
      </w:r>
      <w:r w:rsidR="00DD311B">
        <w:rPr>
          <w:sz w:val="22"/>
          <w:szCs w:val="22"/>
        </w:rPr>
        <w:t xml:space="preserve">put responsibility for </w:t>
      </w:r>
      <w:r w:rsidR="00C417D3">
        <w:rPr>
          <w:sz w:val="22"/>
          <w:szCs w:val="22"/>
        </w:rPr>
        <w:t>immigration enforcement</w:t>
      </w:r>
      <w:r w:rsidR="00DD311B">
        <w:rPr>
          <w:sz w:val="22"/>
          <w:szCs w:val="22"/>
        </w:rPr>
        <w:t xml:space="preserve"> on local law enforcement agencies</w:t>
      </w:r>
      <w:r w:rsidR="000B255A" w:rsidRPr="00E8639B">
        <w:rPr>
          <w:sz w:val="22"/>
          <w:szCs w:val="22"/>
        </w:rPr>
        <w:t xml:space="preserve">, </w:t>
      </w:r>
      <w:r w:rsidR="00471416" w:rsidRPr="00E8639B">
        <w:rPr>
          <w:sz w:val="22"/>
          <w:szCs w:val="22"/>
        </w:rPr>
        <w:t>PEP-Comm is plagued by the same failings of S-Comm.</w:t>
      </w:r>
      <w:r w:rsidR="00471416" w:rsidRPr="00E8639B">
        <w:rPr>
          <w:rStyle w:val="FootnoteReference"/>
          <w:sz w:val="22"/>
          <w:szCs w:val="22"/>
        </w:rPr>
        <w:footnoteReference w:id="4"/>
      </w:r>
    </w:p>
    <w:p w14:paraId="67E42EC7" w14:textId="4C6DEDA9" w:rsidR="0075619F" w:rsidRPr="00E8639B" w:rsidRDefault="00471416" w:rsidP="00F61F84">
      <w:pPr>
        <w:pStyle w:val="Default"/>
        <w:ind w:firstLine="720"/>
        <w:rPr>
          <w:sz w:val="22"/>
          <w:szCs w:val="22"/>
        </w:rPr>
      </w:pPr>
      <w:r w:rsidRPr="00E8639B">
        <w:rPr>
          <w:rFonts w:cs="Arial"/>
          <w:sz w:val="22"/>
          <w:szCs w:val="22"/>
        </w:rPr>
        <w:t xml:space="preserve">Immigration </w:t>
      </w:r>
      <w:r w:rsidR="00F61F84" w:rsidRPr="00E8639B">
        <w:rPr>
          <w:rFonts w:cs="Arial"/>
          <w:sz w:val="22"/>
          <w:szCs w:val="22"/>
        </w:rPr>
        <w:t xml:space="preserve">hold </w:t>
      </w:r>
      <w:r w:rsidRPr="00E8639B">
        <w:rPr>
          <w:rFonts w:cs="Arial"/>
          <w:sz w:val="22"/>
          <w:szCs w:val="22"/>
        </w:rPr>
        <w:t xml:space="preserve">requests </w:t>
      </w:r>
      <w:r w:rsidR="00F61F84" w:rsidRPr="00E8639B">
        <w:rPr>
          <w:rFonts w:cs="Arial"/>
          <w:sz w:val="22"/>
          <w:szCs w:val="22"/>
        </w:rPr>
        <w:t>are requests sent to local jails to hold individuals for up to 48 hours, excluding weekends and holidays</w:t>
      </w:r>
      <w:r w:rsidR="00030085">
        <w:rPr>
          <w:rFonts w:cs="Arial"/>
          <w:sz w:val="22"/>
          <w:szCs w:val="22"/>
        </w:rPr>
        <w:t>, beyond when the individual would otherwise be released in the criminal matter</w:t>
      </w:r>
      <w:r w:rsidR="00F61F84" w:rsidRPr="00E8639B">
        <w:rPr>
          <w:rFonts w:cs="Arial"/>
          <w:sz w:val="22"/>
          <w:szCs w:val="22"/>
        </w:rPr>
        <w:t>.</w:t>
      </w:r>
      <w:r w:rsidR="00324DA5">
        <w:rPr>
          <w:rFonts w:cs="Arial"/>
          <w:sz w:val="22"/>
          <w:szCs w:val="22"/>
        </w:rPr>
        <w:t xml:space="preserve">  </w:t>
      </w:r>
      <w:r w:rsidR="00F61F84" w:rsidRPr="00E8639B">
        <w:rPr>
          <w:sz w:val="22"/>
          <w:szCs w:val="22"/>
        </w:rPr>
        <w:t>F</w:t>
      </w:r>
      <w:r w:rsidR="0075619F" w:rsidRPr="00E8639B">
        <w:rPr>
          <w:sz w:val="22"/>
          <w:szCs w:val="22"/>
        </w:rPr>
        <w:t xml:space="preserve">ederal </w:t>
      </w:r>
      <w:r w:rsidR="00F61F84" w:rsidRPr="00E8639B">
        <w:rPr>
          <w:sz w:val="22"/>
          <w:szCs w:val="22"/>
        </w:rPr>
        <w:t>courts have</w:t>
      </w:r>
      <w:r w:rsidR="0075619F" w:rsidRPr="00E8639B">
        <w:rPr>
          <w:sz w:val="22"/>
          <w:szCs w:val="22"/>
        </w:rPr>
        <w:t xml:space="preserve"> held that</w:t>
      </w:r>
      <w:r w:rsidR="00F61F84" w:rsidRPr="00E8639B">
        <w:rPr>
          <w:sz w:val="22"/>
          <w:szCs w:val="22"/>
        </w:rPr>
        <w:t xml:space="preserve"> ICE holds are voluntary</w:t>
      </w:r>
      <w:r w:rsidR="00030085">
        <w:rPr>
          <w:sz w:val="22"/>
          <w:szCs w:val="22"/>
        </w:rPr>
        <w:t>,</w:t>
      </w:r>
      <w:r w:rsidR="00F61F84" w:rsidRPr="00E8639B">
        <w:rPr>
          <w:sz w:val="22"/>
          <w:szCs w:val="22"/>
        </w:rPr>
        <w:t xml:space="preserve"> and that</w:t>
      </w:r>
      <w:r w:rsidR="0075619F" w:rsidRPr="00E8639B">
        <w:rPr>
          <w:sz w:val="22"/>
          <w:szCs w:val="22"/>
        </w:rPr>
        <w:t xml:space="preserve"> the detention of individuals </w:t>
      </w:r>
      <w:r w:rsidR="00F22BED">
        <w:rPr>
          <w:sz w:val="22"/>
          <w:szCs w:val="22"/>
        </w:rPr>
        <w:t>based on</w:t>
      </w:r>
      <w:r w:rsidR="00F61F84" w:rsidRPr="00E8639B">
        <w:rPr>
          <w:sz w:val="22"/>
          <w:szCs w:val="22"/>
        </w:rPr>
        <w:t xml:space="preserve"> </w:t>
      </w:r>
      <w:r w:rsidR="00F22BED">
        <w:rPr>
          <w:sz w:val="22"/>
          <w:szCs w:val="22"/>
        </w:rPr>
        <w:t xml:space="preserve">ICE </w:t>
      </w:r>
      <w:r w:rsidR="00F61F84" w:rsidRPr="00E8639B">
        <w:rPr>
          <w:sz w:val="22"/>
          <w:szCs w:val="22"/>
        </w:rPr>
        <w:t>hold requests</w:t>
      </w:r>
      <w:r w:rsidR="00324DA5">
        <w:rPr>
          <w:sz w:val="22"/>
          <w:szCs w:val="22"/>
        </w:rPr>
        <w:t xml:space="preserve"> </w:t>
      </w:r>
      <w:r w:rsidR="00F61F84" w:rsidRPr="00E8639B">
        <w:rPr>
          <w:sz w:val="22"/>
          <w:szCs w:val="22"/>
        </w:rPr>
        <w:t>violate</w:t>
      </w:r>
      <w:r w:rsidR="00324DA5">
        <w:rPr>
          <w:sz w:val="22"/>
          <w:szCs w:val="22"/>
        </w:rPr>
        <w:t xml:space="preserve">s </w:t>
      </w:r>
      <w:r w:rsidR="00F61F84" w:rsidRPr="00E8639B">
        <w:rPr>
          <w:sz w:val="22"/>
          <w:szCs w:val="22"/>
        </w:rPr>
        <w:t xml:space="preserve">the </w:t>
      </w:r>
      <w:r w:rsidR="0075619F" w:rsidRPr="00E8639B">
        <w:rPr>
          <w:sz w:val="22"/>
          <w:szCs w:val="22"/>
        </w:rPr>
        <w:t>Fourth Amendment</w:t>
      </w:r>
      <w:r w:rsidR="004F17C2">
        <w:rPr>
          <w:sz w:val="22"/>
          <w:szCs w:val="22"/>
        </w:rPr>
        <w:t xml:space="preserve"> prohibition against</w:t>
      </w:r>
      <w:r w:rsidR="00D37BB2">
        <w:rPr>
          <w:sz w:val="22"/>
          <w:szCs w:val="22"/>
        </w:rPr>
        <w:t xml:space="preserve"> </w:t>
      </w:r>
      <w:r w:rsidR="004F17C2">
        <w:rPr>
          <w:sz w:val="22"/>
          <w:szCs w:val="22"/>
        </w:rPr>
        <w:t>unreasonable search and seizure</w:t>
      </w:r>
      <w:r w:rsidR="00F61F84" w:rsidRPr="00E8639B">
        <w:rPr>
          <w:sz w:val="22"/>
          <w:szCs w:val="22"/>
        </w:rPr>
        <w:t>.</w:t>
      </w:r>
      <w:r w:rsidR="00F6131B" w:rsidRPr="00E8639B">
        <w:rPr>
          <w:rStyle w:val="FootnoteReference"/>
          <w:sz w:val="22"/>
          <w:szCs w:val="22"/>
        </w:rPr>
        <w:footnoteReference w:id="5"/>
      </w:r>
      <w:r w:rsidR="00324DA5">
        <w:rPr>
          <w:sz w:val="22"/>
          <w:szCs w:val="22"/>
        </w:rPr>
        <w:t xml:space="preserve">  </w:t>
      </w:r>
      <w:r w:rsidR="00030085">
        <w:rPr>
          <w:sz w:val="22"/>
          <w:szCs w:val="22"/>
        </w:rPr>
        <w:t>Because</w:t>
      </w:r>
      <w:r w:rsidR="00324DA5">
        <w:rPr>
          <w:sz w:val="22"/>
          <w:szCs w:val="22"/>
        </w:rPr>
        <w:t xml:space="preserve"> </w:t>
      </w:r>
      <w:r w:rsidR="0075619F" w:rsidRPr="00E8639B">
        <w:rPr>
          <w:sz w:val="22"/>
          <w:szCs w:val="22"/>
        </w:rPr>
        <w:t>local l</w:t>
      </w:r>
      <w:r w:rsidR="00F61F84" w:rsidRPr="00E8639B">
        <w:rPr>
          <w:sz w:val="22"/>
          <w:szCs w:val="22"/>
        </w:rPr>
        <w:t xml:space="preserve">aw enforcement </w:t>
      </w:r>
      <w:r w:rsidR="00030085">
        <w:rPr>
          <w:sz w:val="22"/>
          <w:szCs w:val="22"/>
        </w:rPr>
        <w:t xml:space="preserve">agencies </w:t>
      </w:r>
      <w:r w:rsidR="00F61F84" w:rsidRPr="00E8639B">
        <w:rPr>
          <w:sz w:val="22"/>
          <w:szCs w:val="22"/>
        </w:rPr>
        <w:t>have been held</w:t>
      </w:r>
      <w:r w:rsidR="00324DA5">
        <w:rPr>
          <w:sz w:val="22"/>
          <w:szCs w:val="22"/>
        </w:rPr>
        <w:t xml:space="preserve"> </w:t>
      </w:r>
      <w:r w:rsidR="00F61F84" w:rsidRPr="00E8639B">
        <w:rPr>
          <w:sz w:val="22"/>
          <w:szCs w:val="22"/>
        </w:rPr>
        <w:t xml:space="preserve">liable for </w:t>
      </w:r>
      <w:r w:rsidR="00030085">
        <w:rPr>
          <w:sz w:val="22"/>
          <w:szCs w:val="22"/>
        </w:rPr>
        <w:t>detaining individuals in response to</w:t>
      </w:r>
      <w:r w:rsidR="00324DA5">
        <w:rPr>
          <w:sz w:val="22"/>
          <w:szCs w:val="22"/>
        </w:rPr>
        <w:t xml:space="preserve"> </w:t>
      </w:r>
      <w:r w:rsidR="00F61F84" w:rsidRPr="00E8639B">
        <w:rPr>
          <w:sz w:val="22"/>
          <w:szCs w:val="22"/>
        </w:rPr>
        <w:t xml:space="preserve">ICE hold </w:t>
      </w:r>
      <w:r w:rsidR="0075619F" w:rsidRPr="00E8639B">
        <w:rPr>
          <w:sz w:val="22"/>
          <w:szCs w:val="22"/>
        </w:rPr>
        <w:t>request</w:t>
      </w:r>
      <w:r w:rsidR="00F61F84" w:rsidRPr="00E8639B">
        <w:rPr>
          <w:sz w:val="22"/>
          <w:szCs w:val="22"/>
        </w:rPr>
        <w:t>s</w:t>
      </w:r>
      <w:r w:rsidR="00030085">
        <w:rPr>
          <w:sz w:val="22"/>
          <w:szCs w:val="22"/>
        </w:rPr>
        <w:t>,</w:t>
      </w:r>
      <w:r w:rsidR="0075619F" w:rsidRPr="00E8639B">
        <w:rPr>
          <w:rStyle w:val="FootnoteReference"/>
          <w:sz w:val="22"/>
          <w:szCs w:val="22"/>
        </w:rPr>
        <w:footnoteReference w:id="6"/>
      </w:r>
      <w:r w:rsidR="00324DA5">
        <w:rPr>
          <w:sz w:val="22"/>
          <w:szCs w:val="22"/>
        </w:rPr>
        <w:t xml:space="preserve"> </w:t>
      </w:r>
      <w:r w:rsidR="00030085">
        <w:rPr>
          <w:sz w:val="22"/>
          <w:szCs w:val="22"/>
        </w:rPr>
        <w:t>o</w:t>
      </w:r>
      <w:r w:rsidR="00F05CCC" w:rsidRPr="00E8639B">
        <w:rPr>
          <w:sz w:val="22"/>
          <w:szCs w:val="22"/>
        </w:rPr>
        <w:t xml:space="preserve">ver three hundred jurisdictions throughout the country </w:t>
      </w:r>
      <w:r w:rsidR="00F61F84" w:rsidRPr="00E8639B">
        <w:rPr>
          <w:sz w:val="22"/>
          <w:szCs w:val="22"/>
        </w:rPr>
        <w:t xml:space="preserve">have </w:t>
      </w:r>
      <w:r w:rsidR="00F05CCC" w:rsidRPr="00E8639B">
        <w:rPr>
          <w:sz w:val="22"/>
          <w:szCs w:val="22"/>
        </w:rPr>
        <w:t xml:space="preserve">adopted policies limiting or ending responses to all ICE holds.  </w:t>
      </w:r>
    </w:p>
    <w:p w14:paraId="37E3808E" w14:textId="77777777" w:rsidR="008238A2" w:rsidRPr="00E8639B" w:rsidRDefault="008238A2" w:rsidP="00F61F84">
      <w:pPr>
        <w:pStyle w:val="Default"/>
        <w:ind w:firstLine="720"/>
        <w:rPr>
          <w:sz w:val="22"/>
          <w:szCs w:val="22"/>
        </w:rPr>
      </w:pPr>
    </w:p>
    <w:p w14:paraId="2DC78F85" w14:textId="4D32674E" w:rsidR="008238A2" w:rsidRPr="00E8639B" w:rsidRDefault="00003131" w:rsidP="008238A2">
      <w:pPr>
        <w:pStyle w:val="Default"/>
        <w:ind w:firstLine="720"/>
        <w:rPr>
          <w:sz w:val="22"/>
          <w:szCs w:val="22"/>
        </w:rPr>
      </w:pPr>
      <w:r>
        <w:rPr>
          <w:sz w:val="22"/>
          <w:szCs w:val="22"/>
        </w:rPr>
        <w:t xml:space="preserve">After several courts have found that ICE agents lacked probable cause to even issue a </w:t>
      </w:r>
      <w:r w:rsidR="00E007F3">
        <w:rPr>
          <w:sz w:val="22"/>
          <w:szCs w:val="22"/>
        </w:rPr>
        <w:t>ICE hold</w:t>
      </w:r>
      <w:r>
        <w:rPr>
          <w:sz w:val="22"/>
          <w:szCs w:val="22"/>
        </w:rPr>
        <w:t>,</w:t>
      </w:r>
      <w:r>
        <w:rPr>
          <w:rStyle w:val="FootnoteReference"/>
          <w:sz w:val="22"/>
          <w:szCs w:val="22"/>
        </w:rPr>
        <w:footnoteReference w:id="7"/>
      </w:r>
      <w:r>
        <w:rPr>
          <w:sz w:val="22"/>
          <w:szCs w:val="22"/>
        </w:rPr>
        <w:t xml:space="preserve"> </w:t>
      </w:r>
      <w:r w:rsidR="008238A2" w:rsidRPr="00E8639B">
        <w:rPr>
          <w:sz w:val="22"/>
          <w:szCs w:val="22"/>
        </w:rPr>
        <w:t xml:space="preserve">DHS has stated that it will only </w:t>
      </w:r>
      <w:r>
        <w:rPr>
          <w:sz w:val="22"/>
          <w:szCs w:val="22"/>
        </w:rPr>
        <w:t>issue</w:t>
      </w:r>
      <w:r w:rsidRPr="00E8639B">
        <w:rPr>
          <w:sz w:val="22"/>
          <w:szCs w:val="22"/>
        </w:rPr>
        <w:t xml:space="preserve"> </w:t>
      </w:r>
      <w:r w:rsidR="008238A2" w:rsidRPr="00E8639B">
        <w:rPr>
          <w:sz w:val="22"/>
          <w:szCs w:val="22"/>
        </w:rPr>
        <w:t xml:space="preserve">holds where an individual is subject to a final order of removal or </w:t>
      </w:r>
      <w:r w:rsidR="004F17C2">
        <w:rPr>
          <w:sz w:val="22"/>
          <w:szCs w:val="22"/>
        </w:rPr>
        <w:t xml:space="preserve">where </w:t>
      </w:r>
      <w:r w:rsidR="008238A2" w:rsidRPr="00E8639B">
        <w:rPr>
          <w:sz w:val="22"/>
          <w:szCs w:val="22"/>
        </w:rPr>
        <w:t xml:space="preserve">there is other sufficient probable cause to find that the person is deportable.  However, </w:t>
      </w:r>
      <w:r w:rsidR="00C20EFA" w:rsidRPr="00E8639B">
        <w:rPr>
          <w:sz w:val="22"/>
          <w:szCs w:val="22"/>
        </w:rPr>
        <w:t xml:space="preserve">courts have </w:t>
      </w:r>
      <w:r w:rsidR="00C20EFA" w:rsidRPr="00E8639B">
        <w:rPr>
          <w:i/>
          <w:sz w:val="22"/>
          <w:szCs w:val="22"/>
        </w:rPr>
        <w:t>not</w:t>
      </w:r>
      <w:r w:rsidR="00C20EFA" w:rsidRPr="00E8639B">
        <w:rPr>
          <w:sz w:val="22"/>
          <w:szCs w:val="22"/>
        </w:rPr>
        <w:t xml:space="preserve"> held that final orders of removal </w:t>
      </w:r>
      <w:r w:rsidR="00E007F3">
        <w:rPr>
          <w:sz w:val="22"/>
          <w:szCs w:val="22"/>
        </w:rPr>
        <w:t xml:space="preserve">or evidence of </w:t>
      </w:r>
      <w:r w:rsidR="00D37BB2">
        <w:rPr>
          <w:sz w:val="22"/>
          <w:szCs w:val="22"/>
        </w:rPr>
        <w:t xml:space="preserve">deportability </w:t>
      </w:r>
      <w:r w:rsidR="00E007F3">
        <w:rPr>
          <w:sz w:val="22"/>
          <w:szCs w:val="22"/>
        </w:rPr>
        <w:t xml:space="preserve">are sufficient </w:t>
      </w:r>
      <w:r w:rsidR="00D37BB2">
        <w:rPr>
          <w:sz w:val="22"/>
          <w:szCs w:val="22"/>
        </w:rPr>
        <w:t>legal bas</w:t>
      </w:r>
      <w:r w:rsidR="00E007F3">
        <w:rPr>
          <w:sz w:val="22"/>
          <w:szCs w:val="22"/>
        </w:rPr>
        <w:t>e</w:t>
      </w:r>
      <w:r w:rsidR="00D37BB2">
        <w:rPr>
          <w:sz w:val="22"/>
          <w:szCs w:val="22"/>
        </w:rPr>
        <w:t>s</w:t>
      </w:r>
      <w:r w:rsidR="00C20EFA" w:rsidRPr="00E8639B">
        <w:rPr>
          <w:sz w:val="22"/>
          <w:szCs w:val="22"/>
        </w:rPr>
        <w:t xml:space="preserve"> for an individual to be held for additional time in a local jail at the request of ICE.</w:t>
      </w:r>
      <w:r w:rsidR="004F17C2">
        <w:rPr>
          <w:sz w:val="22"/>
          <w:szCs w:val="22"/>
        </w:rPr>
        <w:t xml:space="preserve">  </w:t>
      </w:r>
      <w:r w:rsidR="000851D6">
        <w:rPr>
          <w:sz w:val="22"/>
          <w:szCs w:val="22"/>
        </w:rPr>
        <w:t xml:space="preserve">In addition, </w:t>
      </w:r>
      <w:r w:rsidR="00030085">
        <w:rPr>
          <w:sz w:val="22"/>
          <w:szCs w:val="22"/>
        </w:rPr>
        <w:t xml:space="preserve">ICE holds will still lack the legal </w:t>
      </w:r>
      <w:r>
        <w:rPr>
          <w:sz w:val="22"/>
          <w:szCs w:val="22"/>
        </w:rPr>
        <w:t xml:space="preserve">authority </w:t>
      </w:r>
      <w:r w:rsidR="00030085">
        <w:rPr>
          <w:sz w:val="22"/>
          <w:szCs w:val="22"/>
        </w:rPr>
        <w:t xml:space="preserve">of criminal warrants because </w:t>
      </w:r>
      <w:r w:rsidR="00C20EFA" w:rsidRPr="00E8639B">
        <w:rPr>
          <w:sz w:val="22"/>
          <w:szCs w:val="22"/>
        </w:rPr>
        <w:t xml:space="preserve">ICE officers, rather than judges, will continue to sign ICE hold requests.  </w:t>
      </w:r>
      <w:r>
        <w:rPr>
          <w:sz w:val="22"/>
          <w:szCs w:val="22"/>
        </w:rPr>
        <w:t>Therefore, a</w:t>
      </w:r>
      <w:r w:rsidR="00C20EFA" w:rsidRPr="00E8639B">
        <w:rPr>
          <w:sz w:val="22"/>
          <w:szCs w:val="22"/>
        </w:rPr>
        <w:t xml:space="preserve">ny detentions in response to ICE hold requests under PEP-Comm will continue to expose local law enforcement to legal liability. </w:t>
      </w:r>
    </w:p>
    <w:p w14:paraId="5BD9A32D" w14:textId="77777777" w:rsidR="0075619F" w:rsidRPr="00E8639B" w:rsidRDefault="0075619F" w:rsidP="0009568E">
      <w:pPr>
        <w:pStyle w:val="Default"/>
        <w:rPr>
          <w:sz w:val="22"/>
          <w:szCs w:val="22"/>
        </w:rPr>
      </w:pPr>
    </w:p>
    <w:p w14:paraId="45C8AA45" w14:textId="4BD29255" w:rsidR="002F4E85" w:rsidRPr="00E8639B" w:rsidRDefault="002F4E85" w:rsidP="004F17C2">
      <w:pPr>
        <w:pStyle w:val="Default"/>
        <w:ind w:firstLine="720"/>
        <w:rPr>
          <w:rFonts w:cs="Arial"/>
          <w:sz w:val="22"/>
          <w:szCs w:val="22"/>
        </w:rPr>
      </w:pPr>
      <w:r w:rsidRPr="00E8639B">
        <w:rPr>
          <w:rFonts w:cs="Arial"/>
          <w:sz w:val="22"/>
          <w:szCs w:val="22"/>
        </w:rPr>
        <w:t>Moreover, notification to ICE can expose local law enforcement to liability if it results in an individual’s detention for additional time in local jail</w:t>
      </w:r>
      <w:r w:rsidR="008F5E75">
        <w:rPr>
          <w:rFonts w:cs="Arial"/>
          <w:sz w:val="22"/>
          <w:szCs w:val="22"/>
        </w:rPr>
        <w:t xml:space="preserve"> to facilitate </w:t>
      </w:r>
      <w:r w:rsidR="00DD311B">
        <w:rPr>
          <w:rFonts w:cs="Arial"/>
          <w:sz w:val="22"/>
          <w:szCs w:val="22"/>
        </w:rPr>
        <w:t>a transfer to ICE</w:t>
      </w:r>
      <w:r w:rsidR="008F5E75">
        <w:rPr>
          <w:rFonts w:cs="Arial"/>
          <w:sz w:val="22"/>
          <w:szCs w:val="22"/>
        </w:rPr>
        <w:t xml:space="preserve">.  </w:t>
      </w:r>
      <w:r w:rsidRPr="00E8639B">
        <w:rPr>
          <w:rFonts w:cs="Arial"/>
          <w:sz w:val="22"/>
          <w:szCs w:val="22"/>
        </w:rPr>
        <w:t>Detention after a person is eligible for release on a</w:t>
      </w:r>
      <w:r w:rsidR="000851D6">
        <w:rPr>
          <w:rFonts w:cs="Arial"/>
          <w:sz w:val="22"/>
          <w:szCs w:val="22"/>
        </w:rPr>
        <w:t>n</w:t>
      </w:r>
      <w:r w:rsidRPr="00E8639B">
        <w:rPr>
          <w:rFonts w:cs="Arial"/>
          <w:sz w:val="22"/>
          <w:szCs w:val="22"/>
        </w:rPr>
        <w:t xml:space="preserve"> </w:t>
      </w:r>
      <w:r w:rsidR="00E007F3">
        <w:rPr>
          <w:rFonts w:cs="Arial"/>
          <w:sz w:val="22"/>
          <w:szCs w:val="22"/>
        </w:rPr>
        <w:t>ICE hold</w:t>
      </w:r>
      <w:r w:rsidRPr="00E8639B">
        <w:rPr>
          <w:rFonts w:cs="Arial"/>
          <w:sz w:val="22"/>
          <w:szCs w:val="22"/>
        </w:rPr>
        <w:t xml:space="preserve"> is a new arrest that requires probable cause.</w:t>
      </w:r>
      <w:r w:rsidRPr="00E8639B">
        <w:rPr>
          <w:rFonts w:cs="Arial"/>
          <w:sz w:val="22"/>
          <w:szCs w:val="22"/>
          <w:vertAlign w:val="superscript"/>
        </w:rPr>
        <w:footnoteReference w:id="8"/>
      </w:r>
      <w:r w:rsidR="00324DA5">
        <w:rPr>
          <w:rFonts w:cs="Arial"/>
          <w:sz w:val="22"/>
          <w:szCs w:val="22"/>
        </w:rPr>
        <w:t xml:space="preserve">  </w:t>
      </w:r>
      <w:r w:rsidRPr="00E8639B">
        <w:rPr>
          <w:rFonts w:cs="Arial"/>
          <w:sz w:val="22"/>
          <w:szCs w:val="22"/>
        </w:rPr>
        <w:t>This is true even if the person’s detention is only extended by hours, rather than days.</w:t>
      </w:r>
      <w:r w:rsidRPr="00E8639B">
        <w:rPr>
          <w:rFonts w:cs="Arial"/>
          <w:sz w:val="22"/>
          <w:szCs w:val="22"/>
          <w:vertAlign w:val="superscript"/>
        </w:rPr>
        <w:footnoteReference w:id="9"/>
      </w:r>
      <w:r w:rsidR="00324DA5">
        <w:rPr>
          <w:rFonts w:cs="Arial"/>
          <w:sz w:val="22"/>
          <w:szCs w:val="22"/>
        </w:rPr>
        <w:t xml:space="preserve"> </w:t>
      </w:r>
      <w:r w:rsidR="00E8639B" w:rsidRPr="00E8639B">
        <w:rPr>
          <w:rFonts w:cs="Arial"/>
          <w:sz w:val="22"/>
          <w:szCs w:val="22"/>
        </w:rPr>
        <w:t xml:space="preserve">Also, local law enforcement </w:t>
      </w:r>
      <w:r w:rsidR="00E8639B" w:rsidRPr="00E8639B">
        <w:rPr>
          <w:rFonts w:cs="Arial"/>
          <w:sz w:val="22"/>
          <w:szCs w:val="22"/>
        </w:rPr>
        <w:lastRenderedPageBreak/>
        <w:t>could be subject to liability for notifying and transferring individuals to ICE who are not actually removable.</w:t>
      </w:r>
      <w:r w:rsidR="00E8639B" w:rsidRPr="00E8639B">
        <w:rPr>
          <w:rStyle w:val="FootnoteReference"/>
          <w:rFonts w:cs="Arial"/>
          <w:sz w:val="22"/>
          <w:szCs w:val="22"/>
        </w:rPr>
        <w:footnoteReference w:id="10"/>
      </w:r>
    </w:p>
    <w:p w14:paraId="3E38E27F" w14:textId="77777777" w:rsidR="00677E1E" w:rsidRPr="00E8639B" w:rsidRDefault="006817C9" w:rsidP="00677E1E">
      <w:pPr>
        <w:pStyle w:val="Default"/>
        <w:ind w:firstLine="720"/>
        <w:rPr>
          <w:rFonts w:cs="Arial"/>
          <w:sz w:val="22"/>
          <w:szCs w:val="22"/>
        </w:rPr>
      </w:pPr>
      <w:r>
        <w:rPr>
          <w:rFonts w:cs="Arial"/>
          <w:sz w:val="22"/>
          <w:szCs w:val="22"/>
        </w:rPr>
        <w:t>We would also like to caution</w:t>
      </w:r>
      <w:r w:rsidR="00BA6525">
        <w:rPr>
          <w:rFonts w:cs="Arial"/>
          <w:sz w:val="22"/>
          <w:szCs w:val="22"/>
        </w:rPr>
        <w:t xml:space="preserve"> </w:t>
      </w:r>
      <w:r w:rsidR="00C20EFA" w:rsidRPr="00E8639B">
        <w:rPr>
          <w:rFonts w:cs="Arial"/>
          <w:sz w:val="22"/>
          <w:szCs w:val="22"/>
        </w:rPr>
        <w:t xml:space="preserve">that </w:t>
      </w:r>
      <w:r w:rsidR="00677E1E" w:rsidRPr="00E8639B">
        <w:rPr>
          <w:rFonts w:cs="Arial"/>
          <w:sz w:val="22"/>
          <w:szCs w:val="22"/>
        </w:rPr>
        <w:t xml:space="preserve">notification to ICE of an individual’s release time </w:t>
      </w:r>
      <w:r w:rsidR="008F5E75">
        <w:rPr>
          <w:rFonts w:cs="Arial"/>
          <w:sz w:val="22"/>
          <w:szCs w:val="22"/>
        </w:rPr>
        <w:t xml:space="preserve">undercuts </w:t>
      </w:r>
      <w:r w:rsidR="00677E1E" w:rsidRPr="00E8639B">
        <w:rPr>
          <w:rFonts w:cs="Arial"/>
          <w:sz w:val="22"/>
          <w:szCs w:val="22"/>
        </w:rPr>
        <w:t>community policing through continued entanglement</w:t>
      </w:r>
      <w:r w:rsidR="00BA6525">
        <w:rPr>
          <w:rFonts w:cs="Arial"/>
          <w:sz w:val="22"/>
          <w:szCs w:val="22"/>
        </w:rPr>
        <w:t xml:space="preserve"> of</w:t>
      </w:r>
      <w:r w:rsidR="00677E1E" w:rsidRPr="00E8639B">
        <w:rPr>
          <w:rFonts w:cs="Arial"/>
          <w:sz w:val="22"/>
          <w:szCs w:val="22"/>
        </w:rPr>
        <w:t xml:space="preserve"> local law enforcement </w:t>
      </w:r>
      <w:r w:rsidR="00BA6525">
        <w:rPr>
          <w:rFonts w:cs="Arial"/>
          <w:sz w:val="22"/>
          <w:szCs w:val="22"/>
        </w:rPr>
        <w:t>with</w:t>
      </w:r>
      <w:r w:rsidR="00677E1E" w:rsidRPr="00E8639B">
        <w:rPr>
          <w:rFonts w:cs="Arial"/>
          <w:sz w:val="22"/>
          <w:szCs w:val="22"/>
        </w:rPr>
        <w:t xml:space="preserve"> ICE.  By notifying ICE of an individual’s release, local law enforcement agencies will be directly facilitating the deportation of </w:t>
      </w:r>
      <w:r>
        <w:rPr>
          <w:rFonts w:cs="Arial"/>
          <w:sz w:val="22"/>
          <w:szCs w:val="22"/>
        </w:rPr>
        <w:t>community members</w:t>
      </w:r>
      <w:r w:rsidR="00677E1E" w:rsidRPr="00E8639B">
        <w:rPr>
          <w:rFonts w:cs="Arial"/>
          <w:sz w:val="22"/>
          <w:szCs w:val="22"/>
        </w:rPr>
        <w:t xml:space="preserve">. </w:t>
      </w:r>
      <w:r w:rsidR="00324DA5">
        <w:rPr>
          <w:rFonts w:cs="Arial"/>
          <w:sz w:val="22"/>
          <w:szCs w:val="22"/>
        </w:rPr>
        <w:t xml:space="preserve"> </w:t>
      </w:r>
      <w:r w:rsidR="00677E1E" w:rsidRPr="00E8639B">
        <w:rPr>
          <w:rFonts w:cs="Arial"/>
          <w:sz w:val="22"/>
          <w:szCs w:val="22"/>
        </w:rPr>
        <w:t>Im</w:t>
      </w:r>
      <w:r w:rsidR="008F5E75">
        <w:rPr>
          <w:rFonts w:cs="Arial"/>
          <w:sz w:val="22"/>
          <w:szCs w:val="22"/>
        </w:rPr>
        <w:t xml:space="preserve">migrants and their communities </w:t>
      </w:r>
      <w:r w:rsidR="00677E1E" w:rsidRPr="00E8639B">
        <w:rPr>
          <w:rFonts w:cs="Arial"/>
          <w:sz w:val="22"/>
          <w:szCs w:val="22"/>
        </w:rPr>
        <w:t>are less likely to report crime or cooperate with law enforcement when any contact with law enforcemen</w:t>
      </w:r>
      <w:r w:rsidR="008F5E75">
        <w:rPr>
          <w:rFonts w:cs="Arial"/>
          <w:sz w:val="22"/>
          <w:szCs w:val="22"/>
        </w:rPr>
        <w:t xml:space="preserve">t could result in deportation.  </w:t>
      </w:r>
      <w:r w:rsidR="00677E1E" w:rsidRPr="00E8639B">
        <w:rPr>
          <w:rFonts w:cs="Arial"/>
          <w:sz w:val="22"/>
          <w:szCs w:val="22"/>
        </w:rPr>
        <w:t>The resulting loss of trust will discourage immigrants from seeking police protection and from obtaining the immigration relief available to crime victims.</w:t>
      </w:r>
    </w:p>
    <w:p w14:paraId="2755FC47" w14:textId="77777777" w:rsidR="00677E1E" w:rsidRPr="00E8639B" w:rsidRDefault="00677E1E" w:rsidP="002F4E85">
      <w:pPr>
        <w:pStyle w:val="Default"/>
        <w:rPr>
          <w:sz w:val="22"/>
          <w:szCs w:val="22"/>
        </w:rPr>
      </w:pPr>
    </w:p>
    <w:p w14:paraId="28BBF6FA" w14:textId="77777777" w:rsidR="0075619F" w:rsidRPr="00E8639B" w:rsidRDefault="0075619F" w:rsidP="007A6E33">
      <w:pPr>
        <w:shd w:val="clear" w:color="auto" w:fill="FFFFFF"/>
        <w:jc w:val="center"/>
        <w:rPr>
          <w:rFonts w:cs="Arial"/>
          <w:b/>
          <w:smallCaps/>
          <w:szCs w:val="22"/>
          <w:u w:val="single"/>
          <w:lang w:eastAsia="en-US"/>
        </w:rPr>
      </w:pPr>
      <w:r w:rsidRPr="00E8639B">
        <w:rPr>
          <w:rFonts w:cs="Arial"/>
          <w:b/>
          <w:smallCaps/>
          <w:szCs w:val="22"/>
          <w:u w:val="single"/>
          <w:lang w:eastAsia="en-US"/>
        </w:rPr>
        <w:t xml:space="preserve">We urge you to adopt A Policy And Practice of NO NOTIFICATION </w:t>
      </w:r>
    </w:p>
    <w:p w14:paraId="4DFE9DBA" w14:textId="77777777" w:rsidR="0075619F" w:rsidRPr="00E8639B" w:rsidRDefault="0075619F" w:rsidP="00972825">
      <w:pPr>
        <w:shd w:val="clear" w:color="auto" w:fill="FFFFFF"/>
        <w:rPr>
          <w:rFonts w:cs="Arial"/>
          <w:b/>
          <w:smallCaps/>
          <w:szCs w:val="22"/>
          <w:u w:val="single"/>
          <w:lang w:eastAsia="en-US"/>
        </w:rPr>
      </w:pPr>
    </w:p>
    <w:p w14:paraId="3BF5B84B" w14:textId="2B06E00B" w:rsidR="0075619F" w:rsidRDefault="0075619F" w:rsidP="00ED41DE">
      <w:pPr>
        <w:pStyle w:val="Default"/>
        <w:ind w:firstLine="720"/>
        <w:rPr>
          <w:sz w:val="22"/>
          <w:szCs w:val="22"/>
        </w:rPr>
      </w:pPr>
      <w:r w:rsidRPr="00E8639B">
        <w:rPr>
          <w:sz w:val="22"/>
          <w:szCs w:val="22"/>
        </w:rPr>
        <w:t xml:space="preserve">Based on the foregoing, we urge you to adopt a </w:t>
      </w:r>
      <w:r w:rsidR="008F5E75" w:rsidRPr="000851D6">
        <w:rPr>
          <w:sz w:val="22"/>
          <w:szCs w:val="22"/>
        </w:rPr>
        <w:t xml:space="preserve">no </w:t>
      </w:r>
      <w:r w:rsidR="000851D6" w:rsidRPr="000851D6">
        <w:rPr>
          <w:sz w:val="22"/>
          <w:szCs w:val="22"/>
        </w:rPr>
        <w:t xml:space="preserve">ICE </w:t>
      </w:r>
      <w:r w:rsidR="008F5E75" w:rsidRPr="000851D6">
        <w:rPr>
          <w:sz w:val="22"/>
          <w:szCs w:val="22"/>
        </w:rPr>
        <w:t>notification</w:t>
      </w:r>
      <w:r w:rsidR="00324DA5">
        <w:rPr>
          <w:sz w:val="22"/>
          <w:szCs w:val="22"/>
        </w:rPr>
        <w:t xml:space="preserve"> </w:t>
      </w:r>
      <w:r w:rsidRPr="00324DA5">
        <w:rPr>
          <w:sz w:val="22"/>
          <w:szCs w:val="22"/>
        </w:rPr>
        <w:t>policy</w:t>
      </w:r>
      <w:r w:rsidR="008F5E75">
        <w:rPr>
          <w:sz w:val="22"/>
          <w:szCs w:val="22"/>
        </w:rPr>
        <w:t xml:space="preserve"> prohibiting use of local resources or staff time to notify ICE of an individual’s release from the local jail</w:t>
      </w:r>
      <w:r w:rsidRPr="00E8639B">
        <w:rPr>
          <w:sz w:val="22"/>
          <w:szCs w:val="22"/>
        </w:rPr>
        <w:t xml:space="preserve">.  </w:t>
      </w:r>
      <w:r w:rsidR="00ED41DE">
        <w:rPr>
          <w:sz w:val="22"/>
          <w:szCs w:val="22"/>
        </w:rPr>
        <w:t xml:space="preserve">Enclosed please </w:t>
      </w:r>
      <w:r w:rsidR="00F57A82">
        <w:rPr>
          <w:sz w:val="22"/>
          <w:szCs w:val="22"/>
        </w:rPr>
        <w:t xml:space="preserve">see </w:t>
      </w:r>
      <w:r w:rsidR="00ED41DE">
        <w:rPr>
          <w:sz w:val="22"/>
          <w:szCs w:val="22"/>
        </w:rPr>
        <w:t>a model policy that contains a no notification provision</w:t>
      </w:r>
      <w:r w:rsidR="00432DA7">
        <w:rPr>
          <w:sz w:val="22"/>
          <w:szCs w:val="22"/>
        </w:rPr>
        <w:t xml:space="preserve"> along with other key model provisions</w:t>
      </w:r>
      <w:r w:rsidR="00ED41DE">
        <w:rPr>
          <w:sz w:val="22"/>
          <w:szCs w:val="22"/>
        </w:rPr>
        <w:t xml:space="preserve">.  </w:t>
      </w:r>
      <w:r w:rsidR="006817C9">
        <w:rPr>
          <w:sz w:val="22"/>
          <w:szCs w:val="22"/>
        </w:rPr>
        <w:t>The PEP-Comm program is voluntary because t</w:t>
      </w:r>
      <w:r w:rsidRPr="00E8639B">
        <w:rPr>
          <w:sz w:val="22"/>
          <w:szCs w:val="22"/>
        </w:rPr>
        <w:t>he Tenth Amendment of the Constitution prohibits the federal government from commandeering local law enforcement to engage in civil immigration enforcement.</w:t>
      </w:r>
      <w:r w:rsidRPr="00E8639B">
        <w:rPr>
          <w:rStyle w:val="FootnoteReference"/>
          <w:sz w:val="22"/>
          <w:szCs w:val="22"/>
        </w:rPr>
        <w:footnoteReference w:id="11"/>
      </w:r>
      <w:r w:rsidRPr="00E8639B">
        <w:rPr>
          <w:sz w:val="22"/>
          <w:szCs w:val="22"/>
        </w:rPr>
        <w:t xml:space="preserve">  Local law enforcement can simply say no to undercutting community policing and no to wasting local resources that tear apart immigrant families</w:t>
      </w:r>
      <w:r w:rsidR="008F5E75">
        <w:rPr>
          <w:sz w:val="22"/>
          <w:szCs w:val="22"/>
        </w:rPr>
        <w:t xml:space="preserve">.  </w:t>
      </w:r>
    </w:p>
    <w:p w14:paraId="5CABF946" w14:textId="77777777" w:rsidR="008F5E75" w:rsidRDefault="008F5E75" w:rsidP="00ED41DE">
      <w:pPr>
        <w:pStyle w:val="Default"/>
        <w:rPr>
          <w:sz w:val="22"/>
          <w:szCs w:val="22"/>
        </w:rPr>
      </w:pPr>
    </w:p>
    <w:p w14:paraId="4C86DF13" w14:textId="77777777" w:rsidR="008F5E75" w:rsidRPr="00E8639B" w:rsidRDefault="008F5E75" w:rsidP="0009568E">
      <w:pPr>
        <w:pStyle w:val="Default"/>
        <w:ind w:firstLine="720"/>
        <w:rPr>
          <w:sz w:val="22"/>
          <w:szCs w:val="22"/>
        </w:rPr>
      </w:pPr>
      <w:r>
        <w:rPr>
          <w:sz w:val="22"/>
          <w:szCs w:val="22"/>
        </w:rPr>
        <w:t>Thank you for your attention and consideration of this request.   We look forward to your response.  Please do not hesitate to contact us at [phone number and email] if you have any questions.</w:t>
      </w:r>
    </w:p>
    <w:p w14:paraId="6D28C446" w14:textId="77777777" w:rsidR="0075619F" w:rsidRPr="00E8639B" w:rsidRDefault="0075619F" w:rsidP="00170605">
      <w:pPr>
        <w:shd w:val="clear" w:color="auto" w:fill="FFFFFF"/>
        <w:rPr>
          <w:rFonts w:cs="Arial"/>
          <w:szCs w:val="22"/>
          <w:lang w:eastAsia="en-US"/>
        </w:rPr>
      </w:pPr>
    </w:p>
    <w:p w14:paraId="4FFEB29B" w14:textId="77777777" w:rsidR="0075619F" w:rsidRPr="00E8639B" w:rsidRDefault="0075619F" w:rsidP="00721922">
      <w:pPr>
        <w:shd w:val="clear" w:color="auto" w:fill="FFFFFF"/>
        <w:ind w:firstLine="720"/>
        <w:rPr>
          <w:rFonts w:cs="Arial"/>
          <w:szCs w:val="22"/>
          <w:lang w:eastAsia="en-US"/>
        </w:rPr>
      </w:pPr>
      <w:r w:rsidRPr="00E8639B">
        <w:rPr>
          <w:rFonts w:cs="Arial"/>
          <w:szCs w:val="22"/>
          <w:lang w:eastAsia="en-US"/>
        </w:rPr>
        <w:tab/>
      </w:r>
      <w:r w:rsidRPr="00E8639B">
        <w:rPr>
          <w:rFonts w:cs="Arial"/>
          <w:szCs w:val="22"/>
          <w:lang w:eastAsia="en-US"/>
        </w:rPr>
        <w:tab/>
      </w:r>
      <w:r w:rsidRPr="00E8639B">
        <w:rPr>
          <w:rFonts w:cs="Arial"/>
          <w:szCs w:val="22"/>
          <w:lang w:eastAsia="en-US"/>
        </w:rPr>
        <w:tab/>
      </w:r>
      <w:r w:rsidRPr="00E8639B">
        <w:rPr>
          <w:rFonts w:cs="Arial"/>
          <w:szCs w:val="22"/>
          <w:lang w:eastAsia="en-US"/>
        </w:rPr>
        <w:tab/>
      </w:r>
      <w:r w:rsidRPr="00E8639B">
        <w:rPr>
          <w:rFonts w:cs="Arial"/>
          <w:szCs w:val="22"/>
          <w:lang w:eastAsia="en-US"/>
        </w:rPr>
        <w:tab/>
        <w:t>Sincerely,</w:t>
      </w:r>
    </w:p>
    <w:p w14:paraId="7916C3D7" w14:textId="77777777" w:rsidR="0075619F" w:rsidRPr="00E8639B" w:rsidRDefault="0075619F" w:rsidP="002F06E0">
      <w:pPr>
        <w:shd w:val="clear" w:color="auto" w:fill="FFFFFF"/>
        <w:rPr>
          <w:rFonts w:cs="Arial"/>
          <w:szCs w:val="22"/>
          <w:lang w:eastAsia="en-US"/>
        </w:rPr>
      </w:pPr>
    </w:p>
    <w:p w14:paraId="7963FFA5" w14:textId="77777777" w:rsidR="0075619F" w:rsidRDefault="0075619F" w:rsidP="002F06E0">
      <w:pPr>
        <w:shd w:val="clear" w:color="auto" w:fill="FFFFFF"/>
        <w:rPr>
          <w:rFonts w:cs="Arial"/>
          <w:szCs w:val="22"/>
          <w:lang w:eastAsia="en-US"/>
        </w:rPr>
      </w:pPr>
    </w:p>
    <w:p w14:paraId="0C53568E" w14:textId="77777777" w:rsidR="008F5E75" w:rsidRPr="00E8639B" w:rsidRDefault="008F5E75" w:rsidP="002F06E0">
      <w:pPr>
        <w:shd w:val="clear" w:color="auto" w:fill="FFFFFF"/>
        <w:rPr>
          <w:rFonts w:cs="Arial"/>
          <w:szCs w:val="22"/>
          <w:lang w:eastAsia="en-US"/>
        </w:rPr>
      </w:pPr>
    </w:p>
    <w:p w14:paraId="742C3191" w14:textId="77777777" w:rsidR="0075619F" w:rsidRPr="00E8639B" w:rsidRDefault="0075619F" w:rsidP="002F06E0">
      <w:pPr>
        <w:shd w:val="clear" w:color="auto" w:fill="FFFFFF"/>
        <w:rPr>
          <w:rFonts w:cs="Arial"/>
          <w:szCs w:val="22"/>
          <w:lang w:eastAsia="en-US"/>
        </w:rPr>
      </w:pPr>
      <w:r w:rsidRPr="00E8639B">
        <w:rPr>
          <w:rFonts w:cs="Arial"/>
          <w:szCs w:val="22"/>
          <w:lang w:eastAsia="en-US"/>
        </w:rPr>
        <w:tab/>
      </w:r>
      <w:r w:rsidRPr="00E8639B">
        <w:rPr>
          <w:rFonts w:cs="Arial"/>
          <w:szCs w:val="22"/>
          <w:lang w:eastAsia="en-US"/>
        </w:rPr>
        <w:tab/>
      </w:r>
      <w:r w:rsidRPr="00E8639B">
        <w:rPr>
          <w:rFonts w:cs="Arial"/>
          <w:szCs w:val="22"/>
          <w:lang w:eastAsia="en-US"/>
        </w:rPr>
        <w:tab/>
      </w:r>
      <w:r w:rsidRPr="00E8639B">
        <w:rPr>
          <w:rFonts w:cs="Arial"/>
          <w:szCs w:val="22"/>
          <w:lang w:eastAsia="en-US"/>
        </w:rPr>
        <w:tab/>
      </w:r>
      <w:r w:rsidRPr="00E8639B">
        <w:rPr>
          <w:rFonts w:cs="Arial"/>
          <w:szCs w:val="22"/>
          <w:lang w:eastAsia="en-US"/>
        </w:rPr>
        <w:tab/>
      </w:r>
      <w:r w:rsidRPr="00E8639B">
        <w:rPr>
          <w:rFonts w:cs="Arial"/>
          <w:szCs w:val="22"/>
          <w:lang w:eastAsia="en-US"/>
        </w:rPr>
        <w:tab/>
        <w:t>[Name]</w:t>
      </w:r>
    </w:p>
    <w:p w14:paraId="5E76796A" w14:textId="77777777" w:rsidR="0075619F" w:rsidRPr="00E8639B" w:rsidRDefault="0075619F" w:rsidP="002F06E0">
      <w:pPr>
        <w:shd w:val="clear" w:color="auto" w:fill="FFFFFF"/>
        <w:rPr>
          <w:rFonts w:cs="Arial"/>
          <w:szCs w:val="22"/>
          <w:lang w:eastAsia="en-US"/>
        </w:rPr>
      </w:pPr>
      <w:r w:rsidRPr="00E8639B">
        <w:rPr>
          <w:rFonts w:cs="Arial"/>
          <w:szCs w:val="22"/>
          <w:lang w:eastAsia="en-US"/>
        </w:rPr>
        <w:tab/>
      </w:r>
      <w:r w:rsidRPr="00E8639B">
        <w:rPr>
          <w:rFonts w:cs="Arial"/>
          <w:szCs w:val="22"/>
          <w:lang w:eastAsia="en-US"/>
        </w:rPr>
        <w:tab/>
      </w:r>
      <w:r w:rsidRPr="00E8639B">
        <w:rPr>
          <w:rFonts w:cs="Arial"/>
          <w:szCs w:val="22"/>
          <w:lang w:eastAsia="en-US"/>
        </w:rPr>
        <w:tab/>
      </w:r>
      <w:r w:rsidRPr="00E8639B">
        <w:rPr>
          <w:rFonts w:cs="Arial"/>
          <w:szCs w:val="22"/>
          <w:lang w:eastAsia="en-US"/>
        </w:rPr>
        <w:tab/>
      </w:r>
      <w:r w:rsidRPr="00E8639B">
        <w:rPr>
          <w:rFonts w:cs="Arial"/>
          <w:szCs w:val="22"/>
          <w:lang w:eastAsia="en-US"/>
        </w:rPr>
        <w:tab/>
      </w:r>
      <w:r w:rsidRPr="00E8639B">
        <w:rPr>
          <w:rFonts w:cs="Arial"/>
          <w:szCs w:val="22"/>
          <w:lang w:eastAsia="en-US"/>
        </w:rPr>
        <w:tab/>
        <w:t xml:space="preserve">[Title] </w:t>
      </w:r>
    </w:p>
    <w:p w14:paraId="021CCD86" w14:textId="77777777" w:rsidR="0075619F" w:rsidRPr="00E8639B" w:rsidRDefault="0075619F" w:rsidP="00C92640">
      <w:pPr>
        <w:shd w:val="clear" w:color="auto" w:fill="FFFFFF"/>
        <w:ind w:left="3600" w:firstLine="720"/>
        <w:rPr>
          <w:rFonts w:cs="Arial"/>
          <w:szCs w:val="22"/>
          <w:lang w:eastAsia="en-US"/>
        </w:rPr>
      </w:pPr>
      <w:r w:rsidRPr="00E8639B">
        <w:rPr>
          <w:rFonts w:cs="Arial"/>
          <w:szCs w:val="22"/>
          <w:lang w:eastAsia="en-US"/>
        </w:rPr>
        <w:t>[Program or Organization Name]</w:t>
      </w:r>
    </w:p>
    <w:p w14:paraId="26054461" w14:textId="77777777" w:rsidR="001438D2" w:rsidRDefault="001438D2" w:rsidP="001438D2">
      <w:pPr>
        <w:shd w:val="clear" w:color="auto" w:fill="FFFFFF"/>
        <w:rPr>
          <w:rFonts w:cs="Arial"/>
          <w:szCs w:val="22"/>
          <w:lang w:eastAsia="en-US"/>
        </w:rPr>
      </w:pPr>
    </w:p>
    <w:p w14:paraId="331D07A5" w14:textId="77777777" w:rsidR="005A1D1D" w:rsidRPr="00E8639B" w:rsidRDefault="005A1D1D" w:rsidP="001438D2">
      <w:pPr>
        <w:shd w:val="clear" w:color="auto" w:fill="FFFFFF"/>
        <w:rPr>
          <w:rFonts w:cs="Arial"/>
          <w:szCs w:val="22"/>
          <w:lang w:eastAsia="en-US"/>
        </w:rPr>
      </w:pPr>
    </w:p>
    <w:p w14:paraId="7BBB1D94" w14:textId="77777777" w:rsidR="001438D2" w:rsidRPr="00E8639B" w:rsidRDefault="001438D2" w:rsidP="001438D2">
      <w:pPr>
        <w:shd w:val="clear" w:color="auto" w:fill="FFFFFF"/>
        <w:rPr>
          <w:rFonts w:cs="Arial"/>
          <w:i/>
          <w:szCs w:val="22"/>
          <w:lang w:eastAsia="en-US"/>
        </w:rPr>
      </w:pPr>
    </w:p>
    <w:p w14:paraId="546AB265" w14:textId="77777777" w:rsidR="0075619F" w:rsidRPr="00E8639B" w:rsidRDefault="0075619F" w:rsidP="001438D2">
      <w:pPr>
        <w:shd w:val="clear" w:color="auto" w:fill="FFFFFF"/>
        <w:rPr>
          <w:rFonts w:cs="Arial"/>
          <w:szCs w:val="22"/>
          <w:lang w:eastAsia="en-US"/>
        </w:rPr>
      </w:pPr>
      <w:r w:rsidRPr="00E8639B">
        <w:rPr>
          <w:rFonts w:cs="Arial"/>
          <w:i/>
          <w:szCs w:val="22"/>
          <w:lang w:eastAsia="en-US"/>
        </w:rPr>
        <w:t xml:space="preserve">cc: (Name of County) County Counsel </w:t>
      </w:r>
    </w:p>
    <w:sectPr w:rsidR="0075619F" w:rsidRPr="00E8639B" w:rsidSect="006907F8">
      <w:footerReference w:type="even" r:id="rId9"/>
      <w:footerReference w:type="default" r:id="rId10"/>
      <w:footerReference w:type="first" r:id="rId11"/>
      <w:pgSz w:w="12240" w:h="15840"/>
      <w:pgMar w:top="1440" w:right="1080" w:bottom="153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18CBE" w14:textId="77777777" w:rsidR="004F17C2" w:rsidRDefault="004F17C2" w:rsidP="00197BF3">
      <w:r>
        <w:separator/>
      </w:r>
    </w:p>
  </w:endnote>
  <w:endnote w:type="continuationSeparator" w:id="0">
    <w:p w14:paraId="025E8618" w14:textId="77777777" w:rsidR="004F17C2" w:rsidRDefault="004F17C2" w:rsidP="0019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toneSans">
    <w:altName w:val="Courier"/>
    <w:panose1 w:val="00000000000000000000"/>
    <w:charset w:val="4D"/>
    <w:family w:val="auto"/>
    <w:notTrueType/>
    <w:pitch w:val="default"/>
    <w:sig w:usb0="03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95F0" w14:textId="77777777" w:rsidR="004F17C2" w:rsidRDefault="004F17C2" w:rsidP="00426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060D26" w14:textId="77777777" w:rsidR="004F17C2" w:rsidRDefault="004F17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5BA9" w14:textId="77777777" w:rsidR="004F17C2" w:rsidRDefault="004F17C2" w:rsidP="00437765">
    <w:pPr>
      <w:pStyle w:val="Footer"/>
      <w:rPr>
        <w:rFonts w:ascii="Arial" w:hAnsi="Arial" w:cs="StoneSans"/>
        <w:color w:val="000000"/>
        <w:sz w:val="15"/>
        <w:szCs w:val="15"/>
        <w:lang w:val="en-GB"/>
      </w:rPr>
    </w:pPr>
    <w:r>
      <w:rPr>
        <w:noProof/>
        <w:lang w:eastAsia="en-US"/>
      </w:rPr>
      <w:drawing>
        <wp:anchor distT="0" distB="0" distL="114300" distR="114300" simplePos="0" relativeHeight="251661824" behindDoc="1" locked="0" layoutInCell="1" allowOverlap="1" wp14:anchorId="6D3C6337" wp14:editId="40B73987">
          <wp:simplePos x="0" y="0"/>
          <wp:positionH relativeFrom="page">
            <wp:posOffset>1194435</wp:posOffset>
          </wp:positionH>
          <wp:positionV relativeFrom="page">
            <wp:posOffset>9260840</wp:posOffset>
          </wp:positionV>
          <wp:extent cx="1257300" cy="468630"/>
          <wp:effectExtent l="0" t="0" r="12700" b="0"/>
          <wp:wrapNone/>
          <wp:docPr id="6" name="Picture 9" descr="AAJC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JC 30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8630"/>
                  </a:xfrm>
                  <a:prstGeom prst="rect">
                    <a:avLst/>
                  </a:prstGeom>
                  <a:noFill/>
                </pic:spPr>
              </pic:pic>
            </a:graphicData>
          </a:graphic>
        </wp:anchor>
      </w:drawing>
    </w:r>
    <w:r>
      <w:rPr>
        <w:rFonts w:ascii="Arial" w:hAnsi="Arial" w:cs="StoneSans"/>
        <w:color w:val="000000"/>
        <w:sz w:val="15"/>
        <w:szCs w:val="15"/>
        <w:lang w:val="en-GB"/>
      </w:rPr>
      <w:t xml:space="preserve">                                                        [SAMPLE LETTER TO LOCAL LAW ENFORCEMENT]</w:t>
    </w:r>
  </w:p>
  <w:p w14:paraId="70554107" w14:textId="77777777" w:rsidR="004F17C2" w:rsidRPr="00B24F36" w:rsidRDefault="004F17C2" w:rsidP="00437765">
    <w:pPr>
      <w:pStyle w:val="Footer"/>
      <w:rPr>
        <w:rFonts w:ascii="Arial" w:hAnsi="Arial" w:cs="StoneSans"/>
        <w:color w:val="000000"/>
        <w:sz w:val="15"/>
        <w:szCs w:val="15"/>
        <w:lang w:val="en-GB"/>
      </w:rPr>
    </w:pPr>
    <w:r>
      <w:rPr>
        <w:rFonts w:ascii="Arial" w:hAnsi="Arial" w:cs="StoneSans"/>
        <w:color w:val="000000"/>
        <w:sz w:val="15"/>
        <w:szCs w:val="15"/>
        <w:lang w:val="en-GB"/>
      </w:rPr>
      <w:tab/>
      <w:t xml:space="preserve">                                       Provided by:  Advancing Justice – Asian Law Caucus / </w:t>
    </w:r>
    <w:r w:rsidRPr="00C210E6">
      <w:rPr>
        <w:rFonts w:ascii="Arial" w:hAnsi="Arial" w:cs="StoneSans"/>
        <w:color w:val="000000"/>
        <w:sz w:val="15"/>
        <w:szCs w:val="15"/>
        <w:lang w:val="en-GB"/>
      </w:rPr>
      <w:t>www.advancingjustice-alc</w:t>
    </w:r>
    <w:r>
      <w:rPr>
        <w:rFonts w:ascii="Arial" w:hAnsi="Arial" w:cs="StoneSans"/>
        <w:color w:val="000000"/>
        <w:sz w:val="15"/>
        <w:szCs w:val="15"/>
        <w:lang w:val="en-GB"/>
      </w:rPr>
      <w:t>.org</w:t>
    </w:r>
  </w:p>
  <w:p w14:paraId="11AC9332" w14:textId="77777777" w:rsidR="004F17C2" w:rsidRPr="00B24F36" w:rsidRDefault="004F17C2" w:rsidP="00B24F36">
    <w:pPr>
      <w:pStyle w:val="ADDRESS"/>
      <w:rPr>
        <w:rFonts w:ascii="Arial" w:hAnsi="Arial"/>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4157D" w14:textId="77777777" w:rsidR="004F17C2" w:rsidRDefault="004F17C2" w:rsidP="00B24F36">
    <w:pPr>
      <w:pStyle w:val="Footer"/>
      <w:rPr>
        <w:rFonts w:ascii="Arial" w:hAnsi="Arial" w:cs="StoneSans"/>
        <w:color w:val="000000"/>
        <w:sz w:val="15"/>
        <w:szCs w:val="15"/>
        <w:lang w:val="en-GB"/>
      </w:rPr>
    </w:pPr>
    <w:r>
      <w:rPr>
        <w:noProof/>
        <w:lang w:eastAsia="en-US"/>
      </w:rPr>
      <w:drawing>
        <wp:anchor distT="0" distB="0" distL="114300" distR="114300" simplePos="0" relativeHeight="251659776" behindDoc="1" locked="0" layoutInCell="1" allowOverlap="1" wp14:anchorId="5026D652" wp14:editId="7CF8DF4D">
          <wp:simplePos x="0" y="0"/>
          <wp:positionH relativeFrom="page">
            <wp:posOffset>1194435</wp:posOffset>
          </wp:positionH>
          <wp:positionV relativeFrom="page">
            <wp:posOffset>9260840</wp:posOffset>
          </wp:positionV>
          <wp:extent cx="1257300" cy="468630"/>
          <wp:effectExtent l="0" t="0" r="12700" b="0"/>
          <wp:wrapNone/>
          <wp:docPr id="3" name="Picture 9" descr="AAJC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JC 30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8630"/>
                  </a:xfrm>
                  <a:prstGeom prst="rect">
                    <a:avLst/>
                  </a:prstGeom>
                  <a:noFill/>
                </pic:spPr>
              </pic:pic>
            </a:graphicData>
          </a:graphic>
        </wp:anchor>
      </w:drawing>
    </w:r>
    <w:r>
      <w:rPr>
        <w:rFonts w:ascii="Arial" w:hAnsi="Arial" w:cs="StoneSans"/>
        <w:color w:val="000000"/>
        <w:sz w:val="15"/>
        <w:szCs w:val="15"/>
        <w:lang w:val="en-GB"/>
      </w:rPr>
      <w:t xml:space="preserve">                                                        [SAMPLE LETTER TO LOCAL LAW ENFORCEMENT]</w:t>
    </w:r>
  </w:p>
  <w:p w14:paraId="6B694B14" w14:textId="77777777" w:rsidR="004F17C2" w:rsidRPr="00B24F36" w:rsidRDefault="004F17C2" w:rsidP="00B24F36">
    <w:pPr>
      <w:pStyle w:val="Footer"/>
      <w:rPr>
        <w:rFonts w:ascii="Arial" w:hAnsi="Arial" w:cs="StoneSans"/>
        <w:color w:val="000000"/>
        <w:sz w:val="15"/>
        <w:szCs w:val="15"/>
        <w:lang w:val="en-GB"/>
      </w:rPr>
    </w:pPr>
    <w:r>
      <w:rPr>
        <w:rFonts w:ascii="Arial" w:hAnsi="Arial" w:cs="StoneSans"/>
        <w:color w:val="000000"/>
        <w:sz w:val="15"/>
        <w:szCs w:val="15"/>
        <w:lang w:val="en-GB"/>
      </w:rPr>
      <w:tab/>
      <w:t xml:space="preserve">                                       Provided by:  Advancing Justice – Asian Law Caucus / </w:t>
    </w:r>
    <w:r w:rsidRPr="00C210E6">
      <w:rPr>
        <w:rFonts w:ascii="Arial" w:hAnsi="Arial" w:cs="StoneSans"/>
        <w:color w:val="000000"/>
        <w:sz w:val="15"/>
        <w:szCs w:val="15"/>
        <w:lang w:val="en-GB"/>
      </w:rPr>
      <w:t>www.advancingjustice-alc</w:t>
    </w:r>
    <w:r>
      <w:rPr>
        <w:rFonts w:ascii="Arial" w:hAnsi="Arial" w:cs="StoneSans"/>
        <w:color w:val="000000"/>
        <w:sz w:val="15"/>
        <w:szCs w:val="15"/>
        <w:lang w:val="en-GB"/>
      </w:rPr>
      <w: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9D200" w14:textId="77777777" w:rsidR="004F17C2" w:rsidRDefault="004F17C2" w:rsidP="00197BF3">
      <w:r>
        <w:separator/>
      </w:r>
    </w:p>
  </w:footnote>
  <w:footnote w:type="continuationSeparator" w:id="0">
    <w:p w14:paraId="0856C624" w14:textId="77777777" w:rsidR="004F17C2" w:rsidRDefault="004F17C2" w:rsidP="00197BF3">
      <w:r>
        <w:continuationSeparator/>
      </w:r>
    </w:p>
  </w:footnote>
  <w:footnote w:id="1">
    <w:p w14:paraId="729B932B" w14:textId="77777777" w:rsidR="004F17C2" w:rsidRPr="00030085" w:rsidRDefault="004F17C2">
      <w:pPr>
        <w:pStyle w:val="FootnoteText"/>
        <w:rPr>
          <w:sz w:val="18"/>
          <w:szCs w:val="18"/>
        </w:rPr>
      </w:pPr>
      <w:r w:rsidRPr="00030085">
        <w:rPr>
          <w:rStyle w:val="FootnoteReference"/>
          <w:sz w:val="18"/>
          <w:szCs w:val="18"/>
        </w:rPr>
        <w:footnoteRef/>
      </w:r>
      <w:r w:rsidRPr="00030085">
        <w:rPr>
          <w:sz w:val="18"/>
          <w:szCs w:val="18"/>
        </w:rPr>
        <w:t xml:space="preserve"> Memorandum on Policies for the Apprehension, Detention and Removal of Undocumented Immigrants from Jeh Johnson, Sec’y, Dep’t of Homeland Sec., to Thomas S. Winkowski, Acting Dir., U.S. Immigration and Customs Enforcement, et al. (Nov. 20, 2014), </w:t>
      </w:r>
      <w:r w:rsidRPr="00030085">
        <w:rPr>
          <w:i/>
          <w:sz w:val="18"/>
          <w:szCs w:val="18"/>
        </w:rPr>
        <w:t>available at</w:t>
      </w:r>
      <w:r w:rsidRPr="00030085">
        <w:rPr>
          <w:sz w:val="18"/>
          <w:szCs w:val="18"/>
        </w:rPr>
        <w:t xml:space="preserve"> http://www.dhs.gov/sites/default/files/publications/14_1120_memo_prosecutorial_discretion.pdf.</w:t>
      </w:r>
    </w:p>
  </w:footnote>
  <w:footnote w:id="2">
    <w:p w14:paraId="5569BEBF" w14:textId="77777777" w:rsidR="004F17C2" w:rsidRPr="00324DA5" w:rsidRDefault="004F17C2">
      <w:pPr>
        <w:pStyle w:val="FootnoteText"/>
      </w:pPr>
      <w:r>
        <w:rPr>
          <w:rStyle w:val="FootnoteReference"/>
        </w:rPr>
        <w:footnoteRef/>
      </w:r>
      <w:r>
        <w:t xml:space="preserve"> </w:t>
      </w:r>
      <w:r>
        <w:rPr>
          <w:i/>
        </w:rPr>
        <w:t>Id.</w:t>
      </w:r>
    </w:p>
  </w:footnote>
  <w:footnote w:id="3">
    <w:p w14:paraId="6B351D0D" w14:textId="07B1F72B" w:rsidR="004F17C2" w:rsidRPr="00872C6C" w:rsidRDefault="004F17C2">
      <w:pPr>
        <w:pStyle w:val="FootnoteText"/>
        <w:rPr>
          <w:i/>
        </w:rPr>
      </w:pPr>
      <w:r>
        <w:rPr>
          <w:rStyle w:val="FootnoteReference"/>
        </w:rPr>
        <w:footnoteRef/>
      </w:r>
      <w:r>
        <w:t xml:space="preserve"> </w:t>
      </w:r>
      <w:r>
        <w:rPr>
          <w:i/>
        </w:rPr>
        <w:t>Id.</w:t>
      </w:r>
    </w:p>
  </w:footnote>
  <w:footnote w:id="4">
    <w:p w14:paraId="54C79567" w14:textId="77777777" w:rsidR="004F17C2" w:rsidRPr="00030085" w:rsidRDefault="004F17C2" w:rsidP="00471416">
      <w:pPr>
        <w:pStyle w:val="FootnoteText"/>
        <w:rPr>
          <w:sz w:val="18"/>
          <w:szCs w:val="18"/>
        </w:rPr>
      </w:pPr>
      <w:r w:rsidRPr="00030085">
        <w:rPr>
          <w:rStyle w:val="FootnoteReference"/>
          <w:sz w:val="18"/>
          <w:szCs w:val="18"/>
        </w:rPr>
        <w:footnoteRef/>
      </w:r>
      <w:r w:rsidRPr="00030085">
        <w:rPr>
          <w:i/>
          <w:sz w:val="18"/>
          <w:szCs w:val="18"/>
        </w:rPr>
        <w:t>Id</w:t>
      </w:r>
      <w:r w:rsidRPr="00030085">
        <w:rPr>
          <w:sz w:val="18"/>
          <w:szCs w:val="18"/>
        </w:rPr>
        <w:t>.</w:t>
      </w:r>
    </w:p>
  </w:footnote>
  <w:footnote w:id="5">
    <w:p w14:paraId="07BB7F77" w14:textId="21B20643" w:rsidR="004F17C2" w:rsidRPr="00030085" w:rsidRDefault="004F17C2" w:rsidP="000851D6">
      <w:pPr>
        <w:pStyle w:val="FootnoteText"/>
        <w:rPr>
          <w:sz w:val="18"/>
          <w:szCs w:val="18"/>
        </w:rPr>
      </w:pPr>
      <w:r w:rsidRPr="00030085">
        <w:rPr>
          <w:rStyle w:val="FootnoteReference"/>
          <w:sz w:val="18"/>
          <w:szCs w:val="18"/>
        </w:rPr>
        <w:footnoteRef/>
      </w:r>
      <w:r>
        <w:rPr>
          <w:i/>
          <w:sz w:val="18"/>
          <w:szCs w:val="18"/>
        </w:rPr>
        <w:t xml:space="preserve"> </w:t>
      </w:r>
      <w:r w:rsidRPr="00030085">
        <w:rPr>
          <w:i/>
          <w:sz w:val="18"/>
          <w:szCs w:val="18"/>
        </w:rPr>
        <w:t>See, e.g., Miranda-Olivares</w:t>
      </w:r>
      <w:r w:rsidRPr="00030085">
        <w:rPr>
          <w:sz w:val="18"/>
          <w:szCs w:val="18"/>
        </w:rPr>
        <w:t xml:space="preserve">, 2014 WL 1414305, at *I (D. Ore. Apr. </w:t>
      </w:r>
      <w:proofErr w:type="gramStart"/>
      <w:r w:rsidRPr="00030085">
        <w:rPr>
          <w:sz w:val="18"/>
          <w:szCs w:val="18"/>
        </w:rPr>
        <w:t>11 ,</w:t>
      </w:r>
      <w:proofErr w:type="gramEnd"/>
      <w:r w:rsidRPr="00030085">
        <w:rPr>
          <w:sz w:val="18"/>
          <w:szCs w:val="18"/>
        </w:rPr>
        <w:t xml:space="preserve"> 2014) (</w:t>
      </w:r>
      <w:r>
        <w:rPr>
          <w:sz w:val="18"/>
          <w:szCs w:val="18"/>
        </w:rPr>
        <w:t>holding the county liable for seizure without probable cause in violation of the Fourth Amendment when they held Ms. Miranda-Olivares on an ICE hold</w:t>
      </w:r>
      <w:r w:rsidRPr="00030085">
        <w:rPr>
          <w:sz w:val="18"/>
          <w:szCs w:val="18"/>
        </w:rPr>
        <w:t>;</w:t>
      </w:r>
      <w:r w:rsidRPr="00030085" w:rsidDel="00D37BB2">
        <w:rPr>
          <w:sz w:val="18"/>
          <w:szCs w:val="18"/>
        </w:rPr>
        <w:t xml:space="preserve"> </w:t>
      </w:r>
      <w:r w:rsidRPr="00030085">
        <w:rPr>
          <w:i/>
          <w:sz w:val="18"/>
          <w:szCs w:val="18"/>
        </w:rPr>
        <w:t>Morales v. Chadbourne</w:t>
      </w:r>
      <w:r w:rsidRPr="00030085">
        <w:rPr>
          <w:sz w:val="18"/>
          <w:szCs w:val="18"/>
        </w:rPr>
        <w:t xml:space="preserve">, 996 F. Supp. 2d 19, 29 (D.R.l. 2014) (concluding that detention pursuant to an immigration </w:t>
      </w:r>
      <w:r>
        <w:rPr>
          <w:sz w:val="18"/>
          <w:szCs w:val="18"/>
        </w:rPr>
        <w:t>hold</w:t>
      </w:r>
      <w:r w:rsidRPr="00030085">
        <w:rPr>
          <w:sz w:val="18"/>
          <w:szCs w:val="18"/>
        </w:rPr>
        <w:t xml:space="preserve"> "for purposes of mere investigation is not permitted"). </w:t>
      </w:r>
      <w:r w:rsidRPr="00030085">
        <w:rPr>
          <w:i/>
          <w:sz w:val="18"/>
          <w:szCs w:val="18"/>
        </w:rPr>
        <w:t>See also Uroza v. Salt Lake City</w:t>
      </w:r>
      <w:r w:rsidRPr="00030085">
        <w:rPr>
          <w:sz w:val="18"/>
          <w:szCs w:val="18"/>
        </w:rPr>
        <w:t xml:space="preserve">, No. 2: 11 CV713DAK, 201 3 WL 653968, at *6-7 (D. Utah Feb. 21, 2013) (denying dismissal on qualified immunity grounds where plaintiff claimed to have been held on an immigration </w:t>
      </w:r>
      <w:r>
        <w:rPr>
          <w:sz w:val="18"/>
          <w:szCs w:val="18"/>
        </w:rPr>
        <w:t>hold</w:t>
      </w:r>
      <w:r w:rsidRPr="00030085">
        <w:rPr>
          <w:sz w:val="18"/>
          <w:szCs w:val="18"/>
        </w:rPr>
        <w:t xml:space="preserve"> issued without probable cause). </w:t>
      </w:r>
      <w:r w:rsidRPr="00030085">
        <w:rPr>
          <w:i/>
          <w:sz w:val="18"/>
          <w:szCs w:val="18"/>
        </w:rPr>
        <w:t>Cf</w:t>
      </w:r>
      <w:r>
        <w:rPr>
          <w:i/>
          <w:sz w:val="18"/>
          <w:szCs w:val="18"/>
        </w:rPr>
        <w:t xml:space="preserve"> </w:t>
      </w:r>
      <w:r w:rsidRPr="00030085">
        <w:rPr>
          <w:i/>
          <w:sz w:val="18"/>
          <w:szCs w:val="18"/>
        </w:rPr>
        <w:t>Makowski v. United States</w:t>
      </w:r>
      <w:r w:rsidRPr="00030085">
        <w:rPr>
          <w:sz w:val="18"/>
          <w:szCs w:val="18"/>
        </w:rPr>
        <w:t xml:space="preserve">, --- F. Supp. 2d ---, 2014 WL 1089119, at *10 (N.D. Ill. 2014) (concluding that plaintiff stated a plausible false imprisonment claim against the United States where he was held on a </w:t>
      </w:r>
      <w:r>
        <w:rPr>
          <w:sz w:val="18"/>
          <w:szCs w:val="18"/>
        </w:rPr>
        <w:t>ICE hold</w:t>
      </w:r>
      <w:r w:rsidRPr="00030085">
        <w:rPr>
          <w:sz w:val="18"/>
          <w:szCs w:val="18"/>
        </w:rPr>
        <w:t xml:space="preserve"> without probable cause).</w:t>
      </w:r>
    </w:p>
  </w:footnote>
  <w:footnote w:id="6">
    <w:p w14:paraId="3F15B30D" w14:textId="45A6F388" w:rsidR="004F17C2" w:rsidRPr="00030085" w:rsidRDefault="004F17C2">
      <w:pPr>
        <w:pStyle w:val="FootnoteText"/>
        <w:rPr>
          <w:sz w:val="18"/>
          <w:szCs w:val="18"/>
        </w:rPr>
      </w:pPr>
      <w:r w:rsidRPr="00030085">
        <w:rPr>
          <w:rStyle w:val="FootnoteReference"/>
          <w:sz w:val="18"/>
          <w:szCs w:val="18"/>
        </w:rPr>
        <w:footnoteRef/>
      </w:r>
      <w:r>
        <w:rPr>
          <w:i/>
          <w:sz w:val="18"/>
          <w:szCs w:val="18"/>
        </w:rPr>
        <w:t xml:space="preserve"> </w:t>
      </w:r>
      <w:r w:rsidRPr="00030085">
        <w:rPr>
          <w:i/>
          <w:sz w:val="18"/>
          <w:szCs w:val="18"/>
        </w:rPr>
        <w:t xml:space="preserve">See </w:t>
      </w:r>
      <w:r w:rsidRPr="00030085">
        <w:rPr>
          <w:i/>
          <w:color w:val="000000"/>
          <w:sz w:val="18"/>
          <w:szCs w:val="18"/>
        </w:rPr>
        <w:t>Miranda-Olivares v. Clackamas County</w:t>
      </w:r>
      <w:r w:rsidRPr="00030085">
        <w:rPr>
          <w:color w:val="000000"/>
          <w:sz w:val="18"/>
          <w:szCs w:val="18"/>
        </w:rPr>
        <w:t xml:space="preserve">, No. 3:12-cv-02317-ST., 2014 WL 1414305, at 5-7, 12* (D. </w:t>
      </w:r>
      <w:proofErr w:type="gramStart"/>
      <w:r w:rsidRPr="00030085">
        <w:rPr>
          <w:color w:val="000000"/>
          <w:sz w:val="18"/>
          <w:szCs w:val="18"/>
        </w:rPr>
        <w:t>Or</w:t>
      </w:r>
      <w:proofErr w:type="gramEnd"/>
      <w:r w:rsidRPr="00030085">
        <w:rPr>
          <w:color w:val="000000"/>
          <w:sz w:val="18"/>
          <w:szCs w:val="18"/>
        </w:rPr>
        <w:t xml:space="preserve">. Apr. 11, 2014). </w:t>
      </w:r>
    </w:p>
  </w:footnote>
  <w:footnote w:id="7">
    <w:p w14:paraId="3E82C3C1" w14:textId="77777777" w:rsidR="004F17C2" w:rsidRDefault="004F17C2">
      <w:pPr>
        <w:pStyle w:val="FootnoteText"/>
      </w:pPr>
      <w:r w:rsidRPr="00E007F3">
        <w:rPr>
          <w:rStyle w:val="FootnoteReference"/>
          <w:sz w:val="18"/>
        </w:rPr>
        <w:footnoteRef/>
      </w:r>
      <w:r w:rsidRPr="00E007F3">
        <w:rPr>
          <w:sz w:val="18"/>
        </w:rPr>
        <w:t xml:space="preserve"> </w:t>
      </w:r>
      <w:r w:rsidRPr="00E007F3">
        <w:rPr>
          <w:i/>
          <w:sz w:val="18"/>
        </w:rPr>
        <w:t xml:space="preserve">See </w:t>
      </w:r>
      <w:r w:rsidRPr="00030085">
        <w:rPr>
          <w:i/>
          <w:sz w:val="18"/>
          <w:szCs w:val="18"/>
        </w:rPr>
        <w:t>Moreno v. Napolitano</w:t>
      </w:r>
      <w:r w:rsidRPr="00030085">
        <w:rPr>
          <w:sz w:val="18"/>
          <w:szCs w:val="18"/>
        </w:rPr>
        <w:t xml:space="preserve">, Case No. 11 C5452, 2014 WL 4814776 (N.D. Ill. Sept. 29, 2014) (denying judgment on the pleadings to the government on plaintiffs' claim that ICE's </w:t>
      </w:r>
      <w:r>
        <w:rPr>
          <w:sz w:val="18"/>
          <w:szCs w:val="18"/>
        </w:rPr>
        <w:t>hold</w:t>
      </w:r>
      <w:r w:rsidRPr="00030085">
        <w:rPr>
          <w:sz w:val="18"/>
          <w:szCs w:val="18"/>
        </w:rPr>
        <w:t xml:space="preserve"> procedures violate probable cause requirements); </w:t>
      </w:r>
      <w:r w:rsidRPr="00030085">
        <w:rPr>
          <w:i/>
          <w:sz w:val="18"/>
          <w:szCs w:val="18"/>
        </w:rPr>
        <w:t>Gonzalez v. ICE</w:t>
      </w:r>
      <w:r w:rsidRPr="00030085">
        <w:rPr>
          <w:sz w:val="18"/>
          <w:szCs w:val="18"/>
        </w:rPr>
        <w:t>, Case No.2</w:t>
      </w:r>
      <w:proofErr w:type="gramStart"/>
      <w:r w:rsidRPr="00030085">
        <w:rPr>
          <w:sz w:val="18"/>
          <w:szCs w:val="18"/>
        </w:rPr>
        <w:t>:13</w:t>
      </w:r>
      <w:proofErr w:type="gramEnd"/>
      <w:r w:rsidRPr="00030085">
        <w:rPr>
          <w:sz w:val="18"/>
          <w:szCs w:val="18"/>
        </w:rPr>
        <w:t>-cv-0441-BRO-FFM, at 12-13 (C.D. Cal. July 28, 2014) (granting the government's motion to dismiss, but allowing plaintiffs to file an amended complaint and noting that plaintiffs "have sufficiently pleaded that Defendants exceeded their authorized power" by issuing "immigration detainers without probable cause resulting in unlawful detention")</w:t>
      </w:r>
      <w:r w:rsidRPr="00D37BB2">
        <w:rPr>
          <w:sz w:val="18"/>
          <w:szCs w:val="18"/>
        </w:rPr>
        <w:t>;</w:t>
      </w:r>
      <w:r w:rsidRPr="00030085">
        <w:rPr>
          <w:sz w:val="18"/>
          <w:szCs w:val="18"/>
        </w:rPr>
        <w:t xml:space="preserve"> </w:t>
      </w:r>
      <w:r w:rsidRPr="00030085">
        <w:rPr>
          <w:i/>
          <w:sz w:val="18"/>
          <w:szCs w:val="18"/>
        </w:rPr>
        <w:t>Villars v. Kubiatoski</w:t>
      </w:r>
      <w:r w:rsidRPr="00030085">
        <w:rPr>
          <w:sz w:val="18"/>
          <w:szCs w:val="18"/>
        </w:rPr>
        <w:t xml:space="preserve">, --- F. Supp. 2d ----, 2014 WL 1795631 , at* 10 (N.D. Ill. May 5, 2014) (rejecting dismissal of Fourth Amendment claims concerning an ICE </w:t>
      </w:r>
      <w:r>
        <w:rPr>
          <w:sz w:val="18"/>
          <w:szCs w:val="18"/>
        </w:rPr>
        <w:t>hold</w:t>
      </w:r>
      <w:r w:rsidRPr="00030085">
        <w:rPr>
          <w:sz w:val="18"/>
          <w:szCs w:val="18"/>
        </w:rPr>
        <w:t xml:space="preserve"> issued "without probable cause that Villars committed a violation of immigration laws"); </w:t>
      </w:r>
      <w:r w:rsidRPr="00030085">
        <w:rPr>
          <w:i/>
          <w:sz w:val="18"/>
          <w:szCs w:val="18"/>
        </w:rPr>
        <w:t>Galarza v. Szalczyk</w:t>
      </w:r>
      <w:r w:rsidRPr="00030085">
        <w:rPr>
          <w:sz w:val="18"/>
          <w:szCs w:val="18"/>
        </w:rPr>
        <w:t xml:space="preserve">, Civ. Action No. 10-cv-068 15, 2012 WL1080020, at * 14 (E.D. Penn. March 30, 2012) (denying qualified immunity to immigration officials for unlawful detention on an immigration </w:t>
      </w:r>
      <w:r>
        <w:rPr>
          <w:sz w:val="18"/>
          <w:szCs w:val="18"/>
        </w:rPr>
        <w:t>hold</w:t>
      </w:r>
      <w:r w:rsidRPr="00030085">
        <w:rPr>
          <w:sz w:val="18"/>
          <w:szCs w:val="18"/>
        </w:rPr>
        <w:t xml:space="preserve"> issued without probable cause), rev'd and remanded on other grounds, 745F.3d 634 (reversing district court's finding of no municipal liability)</w:t>
      </w:r>
      <w:r>
        <w:rPr>
          <w:sz w:val="18"/>
          <w:szCs w:val="18"/>
        </w:rPr>
        <w:t>.</w:t>
      </w:r>
    </w:p>
  </w:footnote>
  <w:footnote w:id="8">
    <w:p w14:paraId="399C8846" w14:textId="30D99547" w:rsidR="004F17C2" w:rsidRPr="00030085" w:rsidRDefault="004F17C2" w:rsidP="002F4E85">
      <w:pPr>
        <w:rPr>
          <w:sz w:val="18"/>
          <w:szCs w:val="18"/>
        </w:rPr>
      </w:pPr>
      <w:r w:rsidRPr="00030085">
        <w:rPr>
          <w:rStyle w:val="FootnoteReference"/>
          <w:sz w:val="18"/>
          <w:szCs w:val="18"/>
        </w:rPr>
        <w:footnoteRef/>
      </w:r>
      <w:r>
        <w:rPr>
          <w:i/>
          <w:sz w:val="18"/>
          <w:szCs w:val="18"/>
        </w:rPr>
        <w:t xml:space="preserve"> </w:t>
      </w:r>
      <w:r w:rsidRPr="00030085">
        <w:rPr>
          <w:i/>
          <w:sz w:val="18"/>
          <w:szCs w:val="18"/>
        </w:rPr>
        <w:t xml:space="preserve">See </w:t>
      </w:r>
      <w:r>
        <w:rPr>
          <w:i/>
          <w:sz w:val="18"/>
          <w:szCs w:val="18"/>
        </w:rPr>
        <w:t>id.</w:t>
      </w:r>
      <w:r>
        <w:rPr>
          <w:sz w:val="18"/>
          <w:szCs w:val="18"/>
        </w:rPr>
        <w:t xml:space="preserve"> </w:t>
      </w:r>
      <w:proofErr w:type="gramStart"/>
      <w:r>
        <w:rPr>
          <w:sz w:val="18"/>
          <w:szCs w:val="18"/>
        </w:rPr>
        <w:t>at</w:t>
      </w:r>
      <w:proofErr w:type="gramEnd"/>
      <w:r>
        <w:rPr>
          <w:sz w:val="18"/>
          <w:szCs w:val="18"/>
        </w:rPr>
        <w:t xml:space="preserve"> *9, *10</w:t>
      </w:r>
      <w:r w:rsidRPr="00030085">
        <w:rPr>
          <w:sz w:val="18"/>
          <w:szCs w:val="18"/>
        </w:rPr>
        <w:t xml:space="preserve"> (the “continuation of [plaintiff’s] detention based on the ICE detainer” constituted a “new arrest, and must be analyzed under the Fourth Amendment”); </w:t>
      </w:r>
      <w:r w:rsidRPr="00030085">
        <w:rPr>
          <w:i/>
          <w:sz w:val="18"/>
          <w:szCs w:val="18"/>
        </w:rPr>
        <w:t>Morales v. Chadbourne</w:t>
      </w:r>
      <w:r w:rsidRPr="00030085">
        <w:rPr>
          <w:sz w:val="18"/>
          <w:szCs w:val="18"/>
        </w:rPr>
        <w:t xml:space="preserve">, 996 F. Supp. 2d 19, 32 (D.R.I. 2014) (plaintiff stated Fourth Amendment claim against ICE officials for issuing </w:t>
      </w:r>
      <w:r>
        <w:rPr>
          <w:sz w:val="18"/>
          <w:szCs w:val="18"/>
        </w:rPr>
        <w:t>hold</w:t>
      </w:r>
      <w:r w:rsidRPr="00030085">
        <w:rPr>
          <w:sz w:val="18"/>
          <w:szCs w:val="18"/>
        </w:rPr>
        <w:t xml:space="preserve"> because </w:t>
      </w:r>
      <w:r>
        <w:rPr>
          <w:sz w:val="18"/>
          <w:szCs w:val="18"/>
        </w:rPr>
        <w:t>hold</w:t>
      </w:r>
      <w:r w:rsidRPr="00030085">
        <w:rPr>
          <w:sz w:val="18"/>
          <w:szCs w:val="18"/>
        </w:rPr>
        <w:t xml:space="preserve"> constituted new arrest without probable cause).</w:t>
      </w:r>
    </w:p>
  </w:footnote>
  <w:footnote w:id="9">
    <w:p w14:paraId="4524B202" w14:textId="26409BB6" w:rsidR="004F17C2" w:rsidRPr="00030085" w:rsidRDefault="004F17C2" w:rsidP="002F4E85">
      <w:pPr>
        <w:pStyle w:val="FootnoteText"/>
        <w:rPr>
          <w:sz w:val="18"/>
          <w:szCs w:val="18"/>
        </w:rPr>
      </w:pPr>
      <w:r w:rsidRPr="00030085">
        <w:rPr>
          <w:rStyle w:val="FootnoteReference"/>
          <w:sz w:val="18"/>
          <w:szCs w:val="18"/>
        </w:rPr>
        <w:footnoteRef/>
      </w:r>
      <w:r>
        <w:rPr>
          <w:i/>
          <w:sz w:val="18"/>
          <w:szCs w:val="18"/>
        </w:rPr>
        <w:t xml:space="preserve"> </w:t>
      </w:r>
      <w:r w:rsidRPr="00030085">
        <w:rPr>
          <w:i/>
          <w:sz w:val="18"/>
          <w:szCs w:val="18"/>
        </w:rPr>
        <w:t xml:space="preserve">See, e.g., Miranda-Olivares v. Clackamas </w:t>
      </w:r>
      <w:proofErr w:type="spellStart"/>
      <w:r w:rsidRPr="00030085">
        <w:rPr>
          <w:i/>
          <w:sz w:val="18"/>
          <w:szCs w:val="18"/>
        </w:rPr>
        <w:t>Cnty</w:t>
      </w:r>
      <w:proofErr w:type="spellEnd"/>
      <w:proofErr w:type="gramStart"/>
      <w:r w:rsidRPr="00030085">
        <w:rPr>
          <w:i/>
          <w:sz w:val="18"/>
          <w:szCs w:val="18"/>
        </w:rPr>
        <w:t>.,</w:t>
      </w:r>
      <w:proofErr w:type="gramEnd"/>
      <w:r w:rsidRPr="00030085">
        <w:rPr>
          <w:sz w:val="18"/>
          <w:szCs w:val="18"/>
        </w:rPr>
        <w:t xml:space="preserve"> No. 3:12-CV-02317-ST, 2014 WL 1414305, at *3 (D. Or. Apr. 11, 2014) (holding that County violated the </w:t>
      </w:r>
      <w:r>
        <w:rPr>
          <w:sz w:val="18"/>
          <w:szCs w:val="18"/>
        </w:rPr>
        <w:t>Fourth</w:t>
      </w:r>
      <w:r w:rsidRPr="00030085">
        <w:rPr>
          <w:sz w:val="18"/>
          <w:szCs w:val="18"/>
        </w:rPr>
        <w:t xml:space="preserve"> Amendment when it held Miranda-Olivares for 19 hours beyond the time she became eligible for release); </w:t>
      </w:r>
      <w:r w:rsidRPr="00030085">
        <w:rPr>
          <w:i/>
          <w:sz w:val="18"/>
          <w:szCs w:val="18"/>
        </w:rPr>
        <w:t>Vohra v. United States</w:t>
      </w:r>
      <w:r w:rsidRPr="00030085">
        <w:rPr>
          <w:sz w:val="18"/>
          <w:szCs w:val="18"/>
        </w:rPr>
        <w:t>, No. SA CV 04-00972 DSF</w:t>
      </w:r>
      <w:r w:rsidRPr="00030085">
        <w:rPr>
          <w:i/>
          <w:sz w:val="18"/>
          <w:szCs w:val="18"/>
        </w:rPr>
        <w:t xml:space="preserve">, </w:t>
      </w:r>
      <w:r w:rsidRPr="00030085">
        <w:rPr>
          <w:sz w:val="18"/>
          <w:szCs w:val="18"/>
        </w:rPr>
        <w:t xml:space="preserve">2010 U.S. Dist. LEXIS 34363, at *25 (“Plaintiff was kept in formal detention for at least several hours longer due to an ICE </w:t>
      </w:r>
      <w:r>
        <w:rPr>
          <w:sz w:val="18"/>
          <w:szCs w:val="18"/>
        </w:rPr>
        <w:t>hold</w:t>
      </w:r>
      <w:r w:rsidRPr="00030085">
        <w:rPr>
          <w:sz w:val="18"/>
          <w:szCs w:val="18"/>
        </w:rPr>
        <w:t>. In plain terms, he was subjected to the functional equivalent of a warrantless arrest.”)</w:t>
      </w:r>
      <w:r>
        <w:rPr>
          <w:sz w:val="18"/>
          <w:szCs w:val="18"/>
        </w:rPr>
        <w:t xml:space="preserve">.  </w:t>
      </w:r>
      <w:r>
        <w:rPr>
          <w:i/>
          <w:sz w:val="18"/>
          <w:szCs w:val="18"/>
        </w:rPr>
        <w:t xml:space="preserve">See also </w:t>
      </w:r>
      <w:proofErr w:type="spellStart"/>
      <w:r w:rsidRPr="00B37A0B">
        <w:rPr>
          <w:i/>
          <w:sz w:val="18"/>
          <w:szCs w:val="18"/>
          <w:shd w:val="clear" w:color="auto" w:fill="FFFFFF"/>
        </w:rPr>
        <w:t>Melendres</w:t>
      </w:r>
      <w:proofErr w:type="spellEnd"/>
      <w:r w:rsidRPr="00B37A0B">
        <w:rPr>
          <w:i/>
          <w:sz w:val="18"/>
          <w:szCs w:val="18"/>
          <w:shd w:val="clear" w:color="auto" w:fill="FFFFFF"/>
        </w:rPr>
        <w:t xml:space="preserve"> v. </w:t>
      </w:r>
      <w:proofErr w:type="spellStart"/>
      <w:r w:rsidRPr="00B37A0B">
        <w:rPr>
          <w:i/>
          <w:sz w:val="18"/>
          <w:szCs w:val="18"/>
          <w:shd w:val="clear" w:color="auto" w:fill="FFFFFF"/>
        </w:rPr>
        <w:t>Arpaio</w:t>
      </w:r>
      <w:proofErr w:type="spellEnd"/>
      <w:r w:rsidRPr="00B37A0B">
        <w:rPr>
          <w:i/>
          <w:sz w:val="18"/>
          <w:szCs w:val="18"/>
          <w:shd w:val="clear" w:color="auto" w:fill="FFFFFF"/>
        </w:rPr>
        <w:t>,</w:t>
      </w:r>
      <w:r w:rsidRPr="00B37A0B">
        <w:rPr>
          <w:sz w:val="18"/>
          <w:szCs w:val="18"/>
          <w:shd w:val="clear" w:color="auto" w:fill="FFFFFF"/>
        </w:rPr>
        <w:t xml:space="preserve"> 695 F.3d 990, 1000 (9th Cir. 2012) (holding that local officers’ lack of authority for immigration arrests extends to </w:t>
      </w:r>
      <w:r>
        <w:rPr>
          <w:sz w:val="18"/>
          <w:szCs w:val="18"/>
          <w:shd w:val="clear" w:color="auto" w:fill="FFFFFF"/>
        </w:rPr>
        <w:t>brief investigatory detentions)</w:t>
      </w:r>
      <w:r>
        <w:rPr>
          <w:sz w:val="18"/>
          <w:szCs w:val="18"/>
        </w:rPr>
        <w:t xml:space="preserve">.  </w:t>
      </w:r>
      <w:r>
        <w:rPr>
          <w:i/>
          <w:sz w:val="18"/>
          <w:szCs w:val="18"/>
        </w:rPr>
        <w:t>Cf</w:t>
      </w:r>
      <w:r>
        <w:rPr>
          <w:sz w:val="18"/>
          <w:szCs w:val="18"/>
        </w:rPr>
        <w:t xml:space="preserve"> </w:t>
      </w:r>
      <w:r w:rsidRPr="00B37A0B">
        <w:rPr>
          <w:i/>
          <w:sz w:val="18"/>
          <w:szCs w:val="18"/>
        </w:rPr>
        <w:t xml:space="preserve">United States v. </w:t>
      </w:r>
      <w:proofErr w:type="spellStart"/>
      <w:r w:rsidRPr="00B37A0B">
        <w:rPr>
          <w:i/>
          <w:sz w:val="18"/>
          <w:szCs w:val="18"/>
        </w:rPr>
        <w:t>Urrieta</w:t>
      </w:r>
      <w:proofErr w:type="spellEnd"/>
      <w:r w:rsidRPr="00B37A0B">
        <w:rPr>
          <w:sz w:val="18"/>
          <w:szCs w:val="18"/>
        </w:rPr>
        <w:t xml:space="preserve">, 520 F.3d 569, 574 (6th Cir. 2008) (To justify extended detention, an officer must have a reasonable suspicion that the individual “was engaged in some </w:t>
      </w:r>
      <w:proofErr w:type="spellStart"/>
      <w:r w:rsidRPr="00B37A0B">
        <w:rPr>
          <w:sz w:val="18"/>
          <w:szCs w:val="18"/>
        </w:rPr>
        <w:t>nonimmigration</w:t>
      </w:r>
      <w:proofErr w:type="spellEnd"/>
      <w:r w:rsidRPr="00B37A0B">
        <w:rPr>
          <w:sz w:val="18"/>
          <w:szCs w:val="18"/>
        </w:rPr>
        <w:t>-related illegal activity”)</w:t>
      </w:r>
      <w:r w:rsidRPr="00030085">
        <w:rPr>
          <w:sz w:val="18"/>
          <w:szCs w:val="18"/>
        </w:rPr>
        <w:t xml:space="preserve"> </w:t>
      </w:r>
    </w:p>
  </w:footnote>
  <w:footnote w:id="10">
    <w:p w14:paraId="2BCDC2A1" w14:textId="17A26392" w:rsidR="004F17C2" w:rsidRPr="00030085" w:rsidRDefault="004F17C2" w:rsidP="00E8639B">
      <w:pPr>
        <w:pStyle w:val="FootnoteText"/>
        <w:rPr>
          <w:sz w:val="18"/>
          <w:szCs w:val="18"/>
        </w:rPr>
      </w:pPr>
      <w:r w:rsidRPr="00030085">
        <w:rPr>
          <w:rStyle w:val="FootnoteReference"/>
          <w:sz w:val="18"/>
          <w:szCs w:val="18"/>
        </w:rPr>
        <w:footnoteRef/>
      </w:r>
      <w:r>
        <w:rPr>
          <w:i/>
          <w:sz w:val="18"/>
          <w:szCs w:val="18"/>
        </w:rPr>
        <w:t xml:space="preserve"> </w:t>
      </w:r>
      <w:r w:rsidRPr="00030085">
        <w:rPr>
          <w:i/>
          <w:sz w:val="18"/>
          <w:szCs w:val="18"/>
        </w:rPr>
        <w:t>See, e.g.</w:t>
      </w:r>
      <w:r w:rsidRPr="00030085">
        <w:rPr>
          <w:sz w:val="18"/>
          <w:szCs w:val="18"/>
        </w:rPr>
        <w:t xml:space="preserve">, Complaint, </w:t>
      </w:r>
      <w:r w:rsidRPr="000851D6">
        <w:rPr>
          <w:i/>
          <w:sz w:val="18"/>
          <w:szCs w:val="18"/>
        </w:rPr>
        <w:t>Roy v.  County Of Los Angeles</w:t>
      </w:r>
      <w:r w:rsidRPr="000851D6">
        <w:rPr>
          <w:sz w:val="18"/>
          <w:szCs w:val="18"/>
        </w:rPr>
        <w:t xml:space="preserve">, No. CV12-9012, </w:t>
      </w:r>
      <w:proofErr w:type="spellStart"/>
      <w:r w:rsidRPr="000851D6">
        <w:rPr>
          <w:sz w:val="18"/>
          <w:szCs w:val="18"/>
        </w:rPr>
        <w:t>pg</w:t>
      </w:r>
      <w:proofErr w:type="spellEnd"/>
      <w:r w:rsidRPr="000851D6">
        <w:rPr>
          <w:sz w:val="18"/>
          <w:szCs w:val="18"/>
        </w:rPr>
        <w:t xml:space="preserve"> 1, (C.D. Cal. Oct. 19, 2014) (lawsuit challenging Los Angeles County Sheriff’s practice of denying release of individuals, including US citizens, solely on the basis of an immigration hold);</w:t>
      </w:r>
      <w:r>
        <w:rPr>
          <w:sz w:val="18"/>
          <w:szCs w:val="18"/>
        </w:rPr>
        <w:t xml:space="preserve"> </w:t>
      </w:r>
      <w:r w:rsidRPr="00030085">
        <w:rPr>
          <w:i/>
          <w:sz w:val="18"/>
          <w:szCs w:val="18"/>
        </w:rPr>
        <w:t>Galarza v. Lehigh County</w:t>
      </w:r>
      <w:r w:rsidRPr="00030085">
        <w:rPr>
          <w:sz w:val="18"/>
          <w:szCs w:val="18"/>
        </w:rPr>
        <w:t>, No. 10-06815 (E.D. Pa. filed Nov. 19, 2010) (</w:t>
      </w:r>
      <w:r>
        <w:rPr>
          <w:sz w:val="18"/>
          <w:szCs w:val="18"/>
        </w:rPr>
        <w:t>l</w:t>
      </w:r>
      <w:r w:rsidRPr="00030085">
        <w:rPr>
          <w:sz w:val="18"/>
          <w:szCs w:val="18"/>
        </w:rPr>
        <w:t>awsuit filed against Le</w:t>
      </w:r>
      <w:r>
        <w:rPr>
          <w:sz w:val="18"/>
          <w:szCs w:val="18"/>
        </w:rPr>
        <w:t>h</w:t>
      </w:r>
      <w:r w:rsidRPr="00030085">
        <w:rPr>
          <w:sz w:val="18"/>
          <w:szCs w:val="18"/>
        </w:rPr>
        <w:t xml:space="preserve">igh County and Sheriff’s Department for extended detention of US citizen based on immigration </w:t>
      </w:r>
      <w:r>
        <w:rPr>
          <w:sz w:val="18"/>
          <w:szCs w:val="18"/>
        </w:rPr>
        <w:t>hold</w:t>
      </w:r>
      <w:r w:rsidRPr="00030085">
        <w:rPr>
          <w:sz w:val="18"/>
          <w:szCs w:val="18"/>
        </w:rPr>
        <w:t>. Case settled and Le</w:t>
      </w:r>
      <w:r>
        <w:rPr>
          <w:sz w:val="18"/>
          <w:szCs w:val="18"/>
        </w:rPr>
        <w:t>h</w:t>
      </w:r>
      <w:r w:rsidRPr="00030085">
        <w:rPr>
          <w:sz w:val="18"/>
          <w:szCs w:val="18"/>
        </w:rPr>
        <w:t xml:space="preserve">igh County paid plaintiff $95,000 in damages and attorney’s fees); </w:t>
      </w:r>
      <w:r w:rsidRPr="00030085">
        <w:rPr>
          <w:i/>
          <w:sz w:val="18"/>
          <w:szCs w:val="18"/>
        </w:rPr>
        <w:t>Soto-Torres v. Johnson</w:t>
      </w:r>
      <w:r w:rsidRPr="00030085">
        <w:rPr>
          <w:sz w:val="18"/>
          <w:szCs w:val="18"/>
        </w:rPr>
        <w:t>, CIV S-99-1695 WBS/DAD (E.D. Cal. filed Aug. 30, 1999) (</w:t>
      </w:r>
      <w:r>
        <w:rPr>
          <w:sz w:val="18"/>
          <w:szCs w:val="18"/>
        </w:rPr>
        <w:t>l</w:t>
      </w:r>
      <w:r w:rsidRPr="00030085">
        <w:rPr>
          <w:sz w:val="18"/>
          <w:szCs w:val="18"/>
        </w:rPr>
        <w:t xml:space="preserve">awsuit against local and federal officials where defendants paid $100,000 in settlement, after a County probation officer made an erroneous determination regarding the plaintiff’s deportability, which resulted in the wrongful arrest and detention of plaintiff by immigration agents).  </w:t>
      </w:r>
    </w:p>
  </w:footnote>
  <w:footnote w:id="11">
    <w:p w14:paraId="0FB07468" w14:textId="41CDD6B2" w:rsidR="004F17C2" w:rsidRPr="000851D6" w:rsidRDefault="004F17C2" w:rsidP="000851D6">
      <w:pPr>
        <w:pStyle w:val="FootnoteText"/>
        <w:rPr>
          <w:sz w:val="18"/>
          <w:szCs w:val="18"/>
        </w:rPr>
      </w:pPr>
      <w:r w:rsidRPr="00030085">
        <w:rPr>
          <w:rStyle w:val="FootnoteReference"/>
          <w:sz w:val="18"/>
          <w:szCs w:val="18"/>
        </w:rPr>
        <w:footnoteRef/>
      </w:r>
      <w:r w:rsidR="00432DA7">
        <w:rPr>
          <w:i/>
          <w:sz w:val="18"/>
          <w:szCs w:val="18"/>
        </w:rPr>
        <w:t xml:space="preserve"> </w:t>
      </w:r>
      <w:bookmarkStart w:id="0" w:name="_GoBack"/>
      <w:bookmarkEnd w:id="0"/>
      <w:r w:rsidRPr="00030085">
        <w:rPr>
          <w:i/>
          <w:sz w:val="18"/>
          <w:szCs w:val="18"/>
        </w:rPr>
        <w:t xml:space="preserve">See </w:t>
      </w:r>
      <w:r w:rsidRPr="00030085">
        <w:rPr>
          <w:sz w:val="18"/>
          <w:szCs w:val="18"/>
        </w:rPr>
        <w:t xml:space="preserve">U.S. Const. </w:t>
      </w:r>
      <w:r>
        <w:rPr>
          <w:sz w:val="18"/>
          <w:szCs w:val="18"/>
        </w:rPr>
        <w:t>a</w:t>
      </w:r>
      <w:r w:rsidRPr="00030085">
        <w:rPr>
          <w:sz w:val="18"/>
          <w:szCs w:val="18"/>
        </w:rPr>
        <w:t>mend</w:t>
      </w:r>
      <w:r>
        <w:rPr>
          <w:sz w:val="18"/>
          <w:szCs w:val="18"/>
        </w:rPr>
        <w:t>.</w:t>
      </w:r>
      <w:r w:rsidRPr="00030085">
        <w:rPr>
          <w:sz w:val="18"/>
          <w:szCs w:val="18"/>
        </w:rPr>
        <w:t xml:space="preserve"> X.</w:t>
      </w:r>
      <w:r>
        <w:rPr>
          <w:sz w:val="18"/>
          <w:szCs w:val="18"/>
        </w:rPr>
        <w:t xml:space="preserve">  </w:t>
      </w:r>
      <w:r>
        <w:rPr>
          <w:i/>
          <w:sz w:val="18"/>
          <w:szCs w:val="18"/>
        </w:rPr>
        <w:t xml:space="preserve">See also </w:t>
      </w:r>
      <w:r>
        <w:rPr>
          <w:sz w:val="18"/>
          <w:szCs w:val="18"/>
        </w:rPr>
        <w:t xml:space="preserve">New York Attorney General </w:t>
      </w:r>
      <w:r w:rsidRPr="000851D6">
        <w:rPr>
          <w:sz w:val="18"/>
          <w:szCs w:val="18"/>
        </w:rPr>
        <w:t xml:space="preserve">Eric T. </w:t>
      </w:r>
      <w:proofErr w:type="spellStart"/>
      <w:r w:rsidRPr="000851D6">
        <w:rPr>
          <w:sz w:val="18"/>
          <w:szCs w:val="18"/>
        </w:rPr>
        <w:t>Schneiderman</w:t>
      </w:r>
      <w:proofErr w:type="spellEnd"/>
      <w:r>
        <w:rPr>
          <w:sz w:val="18"/>
          <w:szCs w:val="18"/>
        </w:rPr>
        <w:t xml:space="preserve">, Bulletin on Secure Communities and the Priority Enforcement Program, Dec. 2, 2014, </w:t>
      </w:r>
      <w:r w:rsidRPr="000851D6">
        <w:rPr>
          <w:i/>
          <w:sz w:val="18"/>
          <w:szCs w:val="18"/>
        </w:rPr>
        <w:t>available at</w:t>
      </w:r>
      <w:r>
        <w:rPr>
          <w:sz w:val="18"/>
          <w:szCs w:val="18"/>
        </w:rPr>
        <w:t xml:space="preserve">: </w:t>
      </w:r>
      <w:r w:rsidRPr="000851D6">
        <w:rPr>
          <w:sz w:val="18"/>
          <w:szCs w:val="18"/>
        </w:rPr>
        <w:t>http://www.ag.ny.gov/pdfs/AG_Letter_And_Memo_Secure_Communities_12_2.pdf</w:t>
      </w:r>
      <w:r>
        <w:rPr>
          <w:sz w:val="18"/>
          <w:szCs w:val="18"/>
        </w:rPr>
        <w:t xml:space="preserve"> (“Decisions about </w:t>
      </w:r>
      <w:r w:rsidRPr="000851D6">
        <w:rPr>
          <w:sz w:val="18"/>
          <w:szCs w:val="18"/>
        </w:rPr>
        <w:t xml:space="preserve">whether to respond to such requests for </w:t>
      </w:r>
      <w:r>
        <w:rPr>
          <w:sz w:val="18"/>
          <w:szCs w:val="18"/>
        </w:rPr>
        <w:t xml:space="preserve">[ICE] </w:t>
      </w:r>
      <w:r w:rsidRPr="000851D6">
        <w:rPr>
          <w:sz w:val="18"/>
          <w:szCs w:val="18"/>
        </w:rPr>
        <w:t>notification are VOLUNTARY and compliance with</w:t>
      </w:r>
      <w:r>
        <w:rPr>
          <w:sz w:val="18"/>
          <w:szCs w:val="18"/>
        </w:rPr>
        <w:t xml:space="preserve"> </w:t>
      </w:r>
      <w:r w:rsidRPr="000851D6">
        <w:rPr>
          <w:sz w:val="18"/>
          <w:szCs w:val="18"/>
        </w:rPr>
        <w:t>these requests remains at the discretion of the local law enforcement agency.</w:t>
      </w:r>
      <w:r>
        <w:rPr>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A0A04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958359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4F2F63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B26013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812A5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66F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E8CC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6214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E6DA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5A070E"/>
    <w:lvl w:ilvl="0">
      <w:start w:val="1"/>
      <w:numFmt w:val="bullet"/>
      <w:lvlText w:val=""/>
      <w:lvlJc w:val="left"/>
      <w:pPr>
        <w:tabs>
          <w:tab w:val="num" w:pos="360"/>
        </w:tabs>
        <w:ind w:left="360" w:hanging="360"/>
      </w:pPr>
      <w:rPr>
        <w:rFonts w:ascii="Symbol" w:hAnsi="Symbol" w:hint="default"/>
      </w:rPr>
    </w:lvl>
  </w:abstractNum>
  <w:abstractNum w:abstractNumId="10">
    <w:nsid w:val="14AB10A8"/>
    <w:multiLevelType w:val="multilevel"/>
    <w:tmpl w:val="A2EA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F5100"/>
    <w:multiLevelType w:val="hybridMultilevel"/>
    <w:tmpl w:val="808047F2"/>
    <w:lvl w:ilvl="0" w:tplc="A24E341C">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BD"/>
    <w:rsid w:val="00001596"/>
    <w:rsid w:val="000025E9"/>
    <w:rsid w:val="00003131"/>
    <w:rsid w:val="00013952"/>
    <w:rsid w:val="0002040B"/>
    <w:rsid w:val="00021475"/>
    <w:rsid w:val="00024A86"/>
    <w:rsid w:val="00030085"/>
    <w:rsid w:val="000609F0"/>
    <w:rsid w:val="00064FE7"/>
    <w:rsid w:val="00084336"/>
    <w:rsid w:val="000851D6"/>
    <w:rsid w:val="00094685"/>
    <w:rsid w:val="0009568E"/>
    <w:rsid w:val="000A0652"/>
    <w:rsid w:val="000A63EB"/>
    <w:rsid w:val="000A6DBD"/>
    <w:rsid w:val="000B0E90"/>
    <w:rsid w:val="000B255A"/>
    <w:rsid w:val="000B3202"/>
    <w:rsid w:val="000E2706"/>
    <w:rsid w:val="000F6A92"/>
    <w:rsid w:val="001142FE"/>
    <w:rsid w:val="00116EDB"/>
    <w:rsid w:val="00142053"/>
    <w:rsid w:val="001438D2"/>
    <w:rsid w:val="00143FF7"/>
    <w:rsid w:val="00156412"/>
    <w:rsid w:val="00170605"/>
    <w:rsid w:val="00194449"/>
    <w:rsid w:val="001971F2"/>
    <w:rsid w:val="00197BF3"/>
    <w:rsid w:val="001B2740"/>
    <w:rsid w:val="001D0027"/>
    <w:rsid w:val="001D32FA"/>
    <w:rsid w:val="001D5D5D"/>
    <w:rsid w:val="001F2885"/>
    <w:rsid w:val="0020533A"/>
    <w:rsid w:val="00216FE6"/>
    <w:rsid w:val="002355F9"/>
    <w:rsid w:val="00246569"/>
    <w:rsid w:val="00246FD3"/>
    <w:rsid w:val="00250566"/>
    <w:rsid w:val="0026041B"/>
    <w:rsid w:val="00277CD8"/>
    <w:rsid w:val="00282D77"/>
    <w:rsid w:val="002A0931"/>
    <w:rsid w:val="002A4091"/>
    <w:rsid w:val="002A5895"/>
    <w:rsid w:val="002B4D3B"/>
    <w:rsid w:val="002E68D6"/>
    <w:rsid w:val="002E736C"/>
    <w:rsid w:val="002F06E0"/>
    <w:rsid w:val="002F3BD0"/>
    <w:rsid w:val="002F4E85"/>
    <w:rsid w:val="002F5105"/>
    <w:rsid w:val="003172AB"/>
    <w:rsid w:val="00324191"/>
    <w:rsid w:val="00324DA5"/>
    <w:rsid w:val="003423B6"/>
    <w:rsid w:val="00342A1E"/>
    <w:rsid w:val="00344390"/>
    <w:rsid w:val="00384B99"/>
    <w:rsid w:val="003B1549"/>
    <w:rsid w:val="003E6672"/>
    <w:rsid w:val="003E6923"/>
    <w:rsid w:val="003F55E6"/>
    <w:rsid w:val="00414A82"/>
    <w:rsid w:val="00416AD7"/>
    <w:rsid w:val="004267C7"/>
    <w:rsid w:val="00432DA7"/>
    <w:rsid w:val="00437765"/>
    <w:rsid w:val="0044342F"/>
    <w:rsid w:val="00444CE4"/>
    <w:rsid w:val="00456841"/>
    <w:rsid w:val="00464196"/>
    <w:rsid w:val="00471416"/>
    <w:rsid w:val="004849E0"/>
    <w:rsid w:val="004960C0"/>
    <w:rsid w:val="0049724F"/>
    <w:rsid w:val="00497A1A"/>
    <w:rsid w:val="004B602A"/>
    <w:rsid w:val="004D7D4F"/>
    <w:rsid w:val="004E2A47"/>
    <w:rsid w:val="004F17C2"/>
    <w:rsid w:val="00520675"/>
    <w:rsid w:val="00524EF1"/>
    <w:rsid w:val="00532D68"/>
    <w:rsid w:val="00547790"/>
    <w:rsid w:val="00551DDC"/>
    <w:rsid w:val="005568CC"/>
    <w:rsid w:val="005601BB"/>
    <w:rsid w:val="00577066"/>
    <w:rsid w:val="005820EF"/>
    <w:rsid w:val="00584955"/>
    <w:rsid w:val="005A1D1D"/>
    <w:rsid w:val="005A514C"/>
    <w:rsid w:val="005A7C06"/>
    <w:rsid w:val="005C2518"/>
    <w:rsid w:val="005C3E24"/>
    <w:rsid w:val="005E4ED1"/>
    <w:rsid w:val="005E6619"/>
    <w:rsid w:val="005F7D79"/>
    <w:rsid w:val="0060551B"/>
    <w:rsid w:val="006065B2"/>
    <w:rsid w:val="00610CFA"/>
    <w:rsid w:val="00625E8C"/>
    <w:rsid w:val="00630B86"/>
    <w:rsid w:val="00643270"/>
    <w:rsid w:val="0064536D"/>
    <w:rsid w:val="00656E8E"/>
    <w:rsid w:val="006625CA"/>
    <w:rsid w:val="00677E1E"/>
    <w:rsid w:val="006807E2"/>
    <w:rsid w:val="006817C9"/>
    <w:rsid w:val="00684E22"/>
    <w:rsid w:val="006907F8"/>
    <w:rsid w:val="006909EF"/>
    <w:rsid w:val="0069498F"/>
    <w:rsid w:val="006A5F00"/>
    <w:rsid w:val="006A6AC2"/>
    <w:rsid w:val="006B6C46"/>
    <w:rsid w:val="006C4C09"/>
    <w:rsid w:val="006D1230"/>
    <w:rsid w:val="006E60CB"/>
    <w:rsid w:val="007047A7"/>
    <w:rsid w:val="00707A9B"/>
    <w:rsid w:val="007117DA"/>
    <w:rsid w:val="00721922"/>
    <w:rsid w:val="00736A88"/>
    <w:rsid w:val="0074093D"/>
    <w:rsid w:val="0075619F"/>
    <w:rsid w:val="007A0B62"/>
    <w:rsid w:val="007A6E33"/>
    <w:rsid w:val="007B1F9A"/>
    <w:rsid w:val="007C0F9E"/>
    <w:rsid w:val="007C5073"/>
    <w:rsid w:val="007C55F0"/>
    <w:rsid w:val="007C6CB2"/>
    <w:rsid w:val="007F61A8"/>
    <w:rsid w:val="007F6461"/>
    <w:rsid w:val="008009BD"/>
    <w:rsid w:val="008035F8"/>
    <w:rsid w:val="00811E40"/>
    <w:rsid w:val="00822554"/>
    <w:rsid w:val="008238A2"/>
    <w:rsid w:val="008268CF"/>
    <w:rsid w:val="008452EA"/>
    <w:rsid w:val="00847E79"/>
    <w:rsid w:val="0085734C"/>
    <w:rsid w:val="00861C70"/>
    <w:rsid w:val="008702A8"/>
    <w:rsid w:val="00872C6C"/>
    <w:rsid w:val="00875A29"/>
    <w:rsid w:val="00892DB4"/>
    <w:rsid w:val="008A165D"/>
    <w:rsid w:val="008A76E3"/>
    <w:rsid w:val="008B1CA9"/>
    <w:rsid w:val="008C0744"/>
    <w:rsid w:val="008C6823"/>
    <w:rsid w:val="008D3D12"/>
    <w:rsid w:val="008D4AD7"/>
    <w:rsid w:val="008E4725"/>
    <w:rsid w:val="008F5E75"/>
    <w:rsid w:val="0090027B"/>
    <w:rsid w:val="0090538C"/>
    <w:rsid w:val="00905F81"/>
    <w:rsid w:val="00910E25"/>
    <w:rsid w:val="00914BC3"/>
    <w:rsid w:val="00920C62"/>
    <w:rsid w:val="00954615"/>
    <w:rsid w:val="0095608E"/>
    <w:rsid w:val="00962475"/>
    <w:rsid w:val="00963DC4"/>
    <w:rsid w:val="00972825"/>
    <w:rsid w:val="00972CC3"/>
    <w:rsid w:val="00985DCF"/>
    <w:rsid w:val="00991256"/>
    <w:rsid w:val="009938AB"/>
    <w:rsid w:val="009943F4"/>
    <w:rsid w:val="009974F0"/>
    <w:rsid w:val="009D058F"/>
    <w:rsid w:val="009D469E"/>
    <w:rsid w:val="009D76A8"/>
    <w:rsid w:val="00A03F61"/>
    <w:rsid w:val="00A31747"/>
    <w:rsid w:val="00A463E9"/>
    <w:rsid w:val="00A70D73"/>
    <w:rsid w:val="00A91018"/>
    <w:rsid w:val="00AB20BD"/>
    <w:rsid w:val="00AC0CDC"/>
    <w:rsid w:val="00AE0692"/>
    <w:rsid w:val="00B03541"/>
    <w:rsid w:val="00B07A1E"/>
    <w:rsid w:val="00B10D32"/>
    <w:rsid w:val="00B2421C"/>
    <w:rsid w:val="00B24ACF"/>
    <w:rsid w:val="00B24D8B"/>
    <w:rsid w:val="00B24F36"/>
    <w:rsid w:val="00B34A89"/>
    <w:rsid w:val="00B37B3F"/>
    <w:rsid w:val="00B63CFA"/>
    <w:rsid w:val="00B65159"/>
    <w:rsid w:val="00B70B5B"/>
    <w:rsid w:val="00B81BA3"/>
    <w:rsid w:val="00BA1587"/>
    <w:rsid w:val="00BA4690"/>
    <w:rsid w:val="00BA6525"/>
    <w:rsid w:val="00BD34ED"/>
    <w:rsid w:val="00BE5FDD"/>
    <w:rsid w:val="00BE68E8"/>
    <w:rsid w:val="00C20EFA"/>
    <w:rsid w:val="00C210E6"/>
    <w:rsid w:val="00C23282"/>
    <w:rsid w:val="00C31A90"/>
    <w:rsid w:val="00C31CD3"/>
    <w:rsid w:val="00C417D3"/>
    <w:rsid w:val="00C4733A"/>
    <w:rsid w:val="00C511A0"/>
    <w:rsid w:val="00C55C7C"/>
    <w:rsid w:val="00C676A1"/>
    <w:rsid w:val="00C8155B"/>
    <w:rsid w:val="00C90BC8"/>
    <w:rsid w:val="00C92640"/>
    <w:rsid w:val="00C9323C"/>
    <w:rsid w:val="00C96497"/>
    <w:rsid w:val="00CE0555"/>
    <w:rsid w:val="00CE1FBC"/>
    <w:rsid w:val="00CE3247"/>
    <w:rsid w:val="00CF06EF"/>
    <w:rsid w:val="00D05B15"/>
    <w:rsid w:val="00D10012"/>
    <w:rsid w:val="00D13E5E"/>
    <w:rsid w:val="00D37BB2"/>
    <w:rsid w:val="00D46639"/>
    <w:rsid w:val="00D51F5E"/>
    <w:rsid w:val="00D52AF5"/>
    <w:rsid w:val="00D670E2"/>
    <w:rsid w:val="00D82288"/>
    <w:rsid w:val="00D90168"/>
    <w:rsid w:val="00D912A0"/>
    <w:rsid w:val="00D91532"/>
    <w:rsid w:val="00D9702E"/>
    <w:rsid w:val="00DA44C3"/>
    <w:rsid w:val="00DD0D52"/>
    <w:rsid w:val="00DD208A"/>
    <w:rsid w:val="00DD311B"/>
    <w:rsid w:val="00DD48FD"/>
    <w:rsid w:val="00DD5750"/>
    <w:rsid w:val="00DD6C62"/>
    <w:rsid w:val="00DE45FD"/>
    <w:rsid w:val="00DF2C7E"/>
    <w:rsid w:val="00DF4B29"/>
    <w:rsid w:val="00E007F3"/>
    <w:rsid w:val="00E04F13"/>
    <w:rsid w:val="00E07DE4"/>
    <w:rsid w:val="00E1239A"/>
    <w:rsid w:val="00E131F7"/>
    <w:rsid w:val="00E21056"/>
    <w:rsid w:val="00E5617E"/>
    <w:rsid w:val="00E6403A"/>
    <w:rsid w:val="00E82BC4"/>
    <w:rsid w:val="00E8639B"/>
    <w:rsid w:val="00E905E9"/>
    <w:rsid w:val="00E95A68"/>
    <w:rsid w:val="00EA4106"/>
    <w:rsid w:val="00EB6B9F"/>
    <w:rsid w:val="00EC1434"/>
    <w:rsid w:val="00ED41DE"/>
    <w:rsid w:val="00ED45F8"/>
    <w:rsid w:val="00ED7573"/>
    <w:rsid w:val="00EE4345"/>
    <w:rsid w:val="00EF1C50"/>
    <w:rsid w:val="00F05CCC"/>
    <w:rsid w:val="00F14988"/>
    <w:rsid w:val="00F1758B"/>
    <w:rsid w:val="00F22BED"/>
    <w:rsid w:val="00F2436C"/>
    <w:rsid w:val="00F35DB8"/>
    <w:rsid w:val="00F57A82"/>
    <w:rsid w:val="00F6131B"/>
    <w:rsid w:val="00F61F84"/>
    <w:rsid w:val="00F845AD"/>
    <w:rsid w:val="00F87B0A"/>
    <w:rsid w:val="00FA2421"/>
    <w:rsid w:val="00FB2E8E"/>
    <w:rsid w:val="00FB7101"/>
    <w:rsid w:val="00FF3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09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12"/>
    <w:rPr>
      <w:rFonts w:ascii="Times New Roman" w:hAnsi="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20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159"/>
    <w:rPr>
      <w:rFonts w:ascii="Times New Roman" w:hAnsi="Times New Roman" w:cs="Times New Roman"/>
      <w:sz w:val="2"/>
      <w:lang w:eastAsia="ja-JP"/>
    </w:rPr>
  </w:style>
  <w:style w:type="paragraph" w:styleId="Header">
    <w:name w:val="header"/>
    <w:basedOn w:val="Normal"/>
    <w:link w:val="HeaderChar"/>
    <w:uiPriority w:val="99"/>
    <w:rsid w:val="00197BF3"/>
    <w:pPr>
      <w:tabs>
        <w:tab w:val="center" w:pos="4320"/>
        <w:tab w:val="right" w:pos="8640"/>
      </w:tabs>
    </w:pPr>
  </w:style>
  <w:style w:type="character" w:customStyle="1" w:styleId="HeaderChar">
    <w:name w:val="Header Char"/>
    <w:basedOn w:val="DefaultParagraphFont"/>
    <w:link w:val="Header"/>
    <w:uiPriority w:val="99"/>
    <w:locked/>
    <w:rsid w:val="00197BF3"/>
    <w:rPr>
      <w:rFonts w:cs="Times New Roman"/>
      <w:sz w:val="24"/>
    </w:rPr>
  </w:style>
  <w:style w:type="paragraph" w:styleId="Footer">
    <w:name w:val="footer"/>
    <w:basedOn w:val="Normal"/>
    <w:link w:val="FooterChar"/>
    <w:uiPriority w:val="99"/>
    <w:rsid w:val="00197BF3"/>
    <w:pPr>
      <w:tabs>
        <w:tab w:val="center" w:pos="4320"/>
        <w:tab w:val="right" w:pos="8640"/>
      </w:tabs>
    </w:pPr>
  </w:style>
  <w:style w:type="character" w:customStyle="1" w:styleId="FooterChar">
    <w:name w:val="Footer Char"/>
    <w:basedOn w:val="DefaultParagraphFont"/>
    <w:link w:val="Footer"/>
    <w:uiPriority w:val="99"/>
    <w:locked/>
    <w:rsid w:val="00197BF3"/>
    <w:rPr>
      <w:rFonts w:cs="Times New Roman"/>
      <w:sz w:val="24"/>
    </w:rPr>
  </w:style>
  <w:style w:type="paragraph" w:customStyle="1" w:styleId="ADDRESS">
    <w:name w:val="ADDRESS"/>
    <w:basedOn w:val="Normal"/>
    <w:uiPriority w:val="99"/>
    <w:rsid w:val="00197BF3"/>
    <w:pPr>
      <w:widowControl w:val="0"/>
      <w:tabs>
        <w:tab w:val="left" w:pos="180"/>
      </w:tabs>
      <w:autoSpaceDE w:val="0"/>
      <w:autoSpaceDN w:val="0"/>
      <w:adjustRightInd w:val="0"/>
      <w:spacing w:line="200" w:lineRule="atLeast"/>
      <w:textAlignment w:val="center"/>
    </w:pPr>
    <w:rPr>
      <w:rFonts w:ascii="StoneSans" w:hAnsi="StoneSans" w:cs="StoneSans"/>
      <w:color w:val="8B9A92"/>
      <w:sz w:val="15"/>
      <w:szCs w:val="15"/>
      <w:lang w:eastAsia="en-US"/>
    </w:rPr>
  </w:style>
  <w:style w:type="paragraph" w:customStyle="1" w:styleId="BasicParagraph">
    <w:name w:val="[Basic Paragraph]"/>
    <w:basedOn w:val="Normal"/>
    <w:uiPriority w:val="99"/>
    <w:rsid w:val="00D10012"/>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Strong">
    <w:name w:val="Strong"/>
    <w:basedOn w:val="DefaultParagraphFont"/>
    <w:uiPriority w:val="99"/>
    <w:qFormat/>
    <w:locked/>
    <w:rsid w:val="00246FD3"/>
    <w:rPr>
      <w:rFonts w:cs="Times New Roman"/>
      <w:b/>
      <w:bCs/>
    </w:rPr>
  </w:style>
  <w:style w:type="character" w:customStyle="1" w:styleId="apple-converted-space">
    <w:name w:val="apple-converted-space"/>
    <w:basedOn w:val="DefaultParagraphFont"/>
    <w:uiPriority w:val="99"/>
    <w:rsid w:val="00246FD3"/>
    <w:rPr>
      <w:rFonts w:cs="Times New Roman"/>
    </w:rPr>
  </w:style>
  <w:style w:type="paragraph" w:styleId="NormalWeb">
    <w:name w:val="Normal (Web)"/>
    <w:basedOn w:val="Normal"/>
    <w:uiPriority w:val="99"/>
    <w:rsid w:val="00246FD3"/>
    <w:pPr>
      <w:spacing w:before="100" w:beforeAutospacing="1" w:after="100" w:afterAutospacing="1"/>
    </w:pPr>
    <w:rPr>
      <w:sz w:val="24"/>
      <w:szCs w:val="24"/>
      <w:lang w:eastAsia="en-US"/>
    </w:rPr>
  </w:style>
  <w:style w:type="character" w:customStyle="1" w:styleId="aqj">
    <w:name w:val="aqj"/>
    <w:basedOn w:val="DefaultParagraphFont"/>
    <w:uiPriority w:val="99"/>
    <w:rsid w:val="00246FD3"/>
    <w:rPr>
      <w:rFonts w:cs="Times New Roman"/>
    </w:rPr>
  </w:style>
  <w:style w:type="character" w:styleId="Hyperlink">
    <w:name w:val="Hyperlink"/>
    <w:basedOn w:val="DefaultParagraphFont"/>
    <w:uiPriority w:val="99"/>
    <w:rsid w:val="00246FD3"/>
    <w:rPr>
      <w:rFonts w:cs="Times New Roman"/>
      <w:color w:val="0000FF"/>
      <w:u w:val="single"/>
    </w:rPr>
  </w:style>
  <w:style w:type="character" w:styleId="Emphasis">
    <w:name w:val="Emphasis"/>
    <w:basedOn w:val="DefaultParagraphFont"/>
    <w:uiPriority w:val="99"/>
    <w:qFormat/>
    <w:locked/>
    <w:rsid w:val="00246FD3"/>
    <w:rPr>
      <w:rFonts w:cs="Times New Roman"/>
      <w:i/>
      <w:iCs/>
    </w:rPr>
  </w:style>
  <w:style w:type="character" w:styleId="PageNumber">
    <w:name w:val="page number"/>
    <w:basedOn w:val="DefaultParagraphFont"/>
    <w:uiPriority w:val="99"/>
    <w:rsid w:val="003172AB"/>
    <w:rPr>
      <w:rFonts w:cs="Times New Roman"/>
    </w:rPr>
  </w:style>
  <w:style w:type="paragraph" w:styleId="FootnoteText">
    <w:name w:val="footnote text"/>
    <w:basedOn w:val="Normal"/>
    <w:link w:val="FootnoteTextChar"/>
    <w:rsid w:val="001D0027"/>
    <w:rPr>
      <w:sz w:val="20"/>
    </w:rPr>
  </w:style>
  <w:style w:type="character" w:customStyle="1" w:styleId="FootnoteTextChar">
    <w:name w:val="Footnote Text Char"/>
    <w:basedOn w:val="DefaultParagraphFont"/>
    <w:link w:val="FootnoteText"/>
    <w:locked/>
    <w:rsid w:val="003E6923"/>
    <w:rPr>
      <w:rFonts w:ascii="Times New Roman" w:hAnsi="Times New Roman" w:cs="Times New Roman"/>
      <w:sz w:val="20"/>
      <w:szCs w:val="20"/>
      <w:lang w:eastAsia="ja-JP"/>
    </w:rPr>
  </w:style>
  <w:style w:type="character" w:styleId="FootnoteReference">
    <w:name w:val="footnote reference"/>
    <w:basedOn w:val="DefaultParagraphFont"/>
    <w:uiPriority w:val="99"/>
    <w:rsid w:val="001D0027"/>
    <w:rPr>
      <w:rFonts w:cs="Times New Roman"/>
      <w:vertAlign w:val="superscript"/>
    </w:rPr>
  </w:style>
  <w:style w:type="paragraph" w:customStyle="1" w:styleId="Default">
    <w:name w:val="Default"/>
    <w:uiPriority w:val="99"/>
    <w:rsid w:val="008268CF"/>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E82BC4"/>
    <w:rPr>
      <w:rFonts w:cs="Times New Roman"/>
      <w:sz w:val="16"/>
      <w:szCs w:val="16"/>
    </w:rPr>
  </w:style>
  <w:style w:type="paragraph" w:styleId="CommentText">
    <w:name w:val="annotation text"/>
    <w:basedOn w:val="Normal"/>
    <w:link w:val="CommentTextChar"/>
    <w:uiPriority w:val="99"/>
    <w:semiHidden/>
    <w:rsid w:val="00E82BC4"/>
    <w:rPr>
      <w:sz w:val="20"/>
    </w:rPr>
  </w:style>
  <w:style w:type="character" w:customStyle="1" w:styleId="CommentTextChar">
    <w:name w:val="Comment Text Char"/>
    <w:basedOn w:val="DefaultParagraphFont"/>
    <w:link w:val="CommentText"/>
    <w:uiPriority w:val="99"/>
    <w:semiHidden/>
    <w:rsid w:val="008023DC"/>
    <w:rPr>
      <w:rFonts w:ascii="Times New Roman" w:hAnsi="Times New Roman"/>
      <w:sz w:val="20"/>
      <w:szCs w:val="20"/>
      <w:lang w:eastAsia="ja-JP"/>
    </w:rPr>
  </w:style>
  <w:style w:type="paragraph" w:styleId="CommentSubject">
    <w:name w:val="annotation subject"/>
    <w:basedOn w:val="CommentText"/>
    <w:next w:val="CommentText"/>
    <w:link w:val="CommentSubjectChar"/>
    <w:uiPriority w:val="99"/>
    <w:semiHidden/>
    <w:rsid w:val="00E82BC4"/>
    <w:rPr>
      <w:b/>
      <w:bCs/>
    </w:rPr>
  </w:style>
  <w:style w:type="character" w:customStyle="1" w:styleId="CommentSubjectChar">
    <w:name w:val="Comment Subject Char"/>
    <w:basedOn w:val="CommentTextChar"/>
    <w:link w:val="CommentSubject"/>
    <w:uiPriority w:val="99"/>
    <w:semiHidden/>
    <w:rsid w:val="008023DC"/>
    <w:rPr>
      <w:rFonts w:ascii="Times New Roman" w:hAnsi="Times New Roman"/>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12"/>
    <w:rPr>
      <w:rFonts w:ascii="Times New Roman" w:hAnsi="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20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159"/>
    <w:rPr>
      <w:rFonts w:ascii="Times New Roman" w:hAnsi="Times New Roman" w:cs="Times New Roman"/>
      <w:sz w:val="2"/>
      <w:lang w:eastAsia="ja-JP"/>
    </w:rPr>
  </w:style>
  <w:style w:type="paragraph" w:styleId="Header">
    <w:name w:val="header"/>
    <w:basedOn w:val="Normal"/>
    <w:link w:val="HeaderChar"/>
    <w:uiPriority w:val="99"/>
    <w:rsid w:val="00197BF3"/>
    <w:pPr>
      <w:tabs>
        <w:tab w:val="center" w:pos="4320"/>
        <w:tab w:val="right" w:pos="8640"/>
      </w:tabs>
    </w:pPr>
  </w:style>
  <w:style w:type="character" w:customStyle="1" w:styleId="HeaderChar">
    <w:name w:val="Header Char"/>
    <w:basedOn w:val="DefaultParagraphFont"/>
    <w:link w:val="Header"/>
    <w:uiPriority w:val="99"/>
    <w:locked/>
    <w:rsid w:val="00197BF3"/>
    <w:rPr>
      <w:rFonts w:cs="Times New Roman"/>
      <w:sz w:val="24"/>
    </w:rPr>
  </w:style>
  <w:style w:type="paragraph" w:styleId="Footer">
    <w:name w:val="footer"/>
    <w:basedOn w:val="Normal"/>
    <w:link w:val="FooterChar"/>
    <w:uiPriority w:val="99"/>
    <w:rsid w:val="00197BF3"/>
    <w:pPr>
      <w:tabs>
        <w:tab w:val="center" w:pos="4320"/>
        <w:tab w:val="right" w:pos="8640"/>
      </w:tabs>
    </w:pPr>
  </w:style>
  <w:style w:type="character" w:customStyle="1" w:styleId="FooterChar">
    <w:name w:val="Footer Char"/>
    <w:basedOn w:val="DefaultParagraphFont"/>
    <w:link w:val="Footer"/>
    <w:uiPriority w:val="99"/>
    <w:locked/>
    <w:rsid w:val="00197BF3"/>
    <w:rPr>
      <w:rFonts w:cs="Times New Roman"/>
      <w:sz w:val="24"/>
    </w:rPr>
  </w:style>
  <w:style w:type="paragraph" w:customStyle="1" w:styleId="ADDRESS">
    <w:name w:val="ADDRESS"/>
    <w:basedOn w:val="Normal"/>
    <w:uiPriority w:val="99"/>
    <w:rsid w:val="00197BF3"/>
    <w:pPr>
      <w:widowControl w:val="0"/>
      <w:tabs>
        <w:tab w:val="left" w:pos="180"/>
      </w:tabs>
      <w:autoSpaceDE w:val="0"/>
      <w:autoSpaceDN w:val="0"/>
      <w:adjustRightInd w:val="0"/>
      <w:spacing w:line="200" w:lineRule="atLeast"/>
      <w:textAlignment w:val="center"/>
    </w:pPr>
    <w:rPr>
      <w:rFonts w:ascii="StoneSans" w:hAnsi="StoneSans" w:cs="StoneSans"/>
      <w:color w:val="8B9A92"/>
      <w:sz w:val="15"/>
      <w:szCs w:val="15"/>
      <w:lang w:eastAsia="en-US"/>
    </w:rPr>
  </w:style>
  <w:style w:type="paragraph" w:customStyle="1" w:styleId="BasicParagraph">
    <w:name w:val="[Basic Paragraph]"/>
    <w:basedOn w:val="Normal"/>
    <w:uiPriority w:val="99"/>
    <w:rsid w:val="00D10012"/>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Strong">
    <w:name w:val="Strong"/>
    <w:basedOn w:val="DefaultParagraphFont"/>
    <w:uiPriority w:val="99"/>
    <w:qFormat/>
    <w:locked/>
    <w:rsid w:val="00246FD3"/>
    <w:rPr>
      <w:rFonts w:cs="Times New Roman"/>
      <w:b/>
      <w:bCs/>
    </w:rPr>
  </w:style>
  <w:style w:type="character" w:customStyle="1" w:styleId="apple-converted-space">
    <w:name w:val="apple-converted-space"/>
    <w:basedOn w:val="DefaultParagraphFont"/>
    <w:uiPriority w:val="99"/>
    <w:rsid w:val="00246FD3"/>
    <w:rPr>
      <w:rFonts w:cs="Times New Roman"/>
    </w:rPr>
  </w:style>
  <w:style w:type="paragraph" w:styleId="NormalWeb">
    <w:name w:val="Normal (Web)"/>
    <w:basedOn w:val="Normal"/>
    <w:uiPriority w:val="99"/>
    <w:rsid w:val="00246FD3"/>
    <w:pPr>
      <w:spacing w:before="100" w:beforeAutospacing="1" w:after="100" w:afterAutospacing="1"/>
    </w:pPr>
    <w:rPr>
      <w:sz w:val="24"/>
      <w:szCs w:val="24"/>
      <w:lang w:eastAsia="en-US"/>
    </w:rPr>
  </w:style>
  <w:style w:type="character" w:customStyle="1" w:styleId="aqj">
    <w:name w:val="aqj"/>
    <w:basedOn w:val="DefaultParagraphFont"/>
    <w:uiPriority w:val="99"/>
    <w:rsid w:val="00246FD3"/>
    <w:rPr>
      <w:rFonts w:cs="Times New Roman"/>
    </w:rPr>
  </w:style>
  <w:style w:type="character" w:styleId="Hyperlink">
    <w:name w:val="Hyperlink"/>
    <w:basedOn w:val="DefaultParagraphFont"/>
    <w:uiPriority w:val="99"/>
    <w:rsid w:val="00246FD3"/>
    <w:rPr>
      <w:rFonts w:cs="Times New Roman"/>
      <w:color w:val="0000FF"/>
      <w:u w:val="single"/>
    </w:rPr>
  </w:style>
  <w:style w:type="character" w:styleId="Emphasis">
    <w:name w:val="Emphasis"/>
    <w:basedOn w:val="DefaultParagraphFont"/>
    <w:uiPriority w:val="99"/>
    <w:qFormat/>
    <w:locked/>
    <w:rsid w:val="00246FD3"/>
    <w:rPr>
      <w:rFonts w:cs="Times New Roman"/>
      <w:i/>
      <w:iCs/>
    </w:rPr>
  </w:style>
  <w:style w:type="character" w:styleId="PageNumber">
    <w:name w:val="page number"/>
    <w:basedOn w:val="DefaultParagraphFont"/>
    <w:uiPriority w:val="99"/>
    <w:rsid w:val="003172AB"/>
    <w:rPr>
      <w:rFonts w:cs="Times New Roman"/>
    </w:rPr>
  </w:style>
  <w:style w:type="paragraph" w:styleId="FootnoteText">
    <w:name w:val="footnote text"/>
    <w:basedOn w:val="Normal"/>
    <w:link w:val="FootnoteTextChar"/>
    <w:rsid w:val="001D0027"/>
    <w:rPr>
      <w:sz w:val="20"/>
    </w:rPr>
  </w:style>
  <w:style w:type="character" w:customStyle="1" w:styleId="FootnoteTextChar">
    <w:name w:val="Footnote Text Char"/>
    <w:basedOn w:val="DefaultParagraphFont"/>
    <w:link w:val="FootnoteText"/>
    <w:locked/>
    <w:rsid w:val="003E6923"/>
    <w:rPr>
      <w:rFonts w:ascii="Times New Roman" w:hAnsi="Times New Roman" w:cs="Times New Roman"/>
      <w:sz w:val="20"/>
      <w:szCs w:val="20"/>
      <w:lang w:eastAsia="ja-JP"/>
    </w:rPr>
  </w:style>
  <w:style w:type="character" w:styleId="FootnoteReference">
    <w:name w:val="footnote reference"/>
    <w:basedOn w:val="DefaultParagraphFont"/>
    <w:uiPriority w:val="99"/>
    <w:rsid w:val="001D0027"/>
    <w:rPr>
      <w:rFonts w:cs="Times New Roman"/>
      <w:vertAlign w:val="superscript"/>
    </w:rPr>
  </w:style>
  <w:style w:type="paragraph" w:customStyle="1" w:styleId="Default">
    <w:name w:val="Default"/>
    <w:uiPriority w:val="99"/>
    <w:rsid w:val="008268CF"/>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E82BC4"/>
    <w:rPr>
      <w:rFonts w:cs="Times New Roman"/>
      <w:sz w:val="16"/>
      <w:szCs w:val="16"/>
    </w:rPr>
  </w:style>
  <w:style w:type="paragraph" w:styleId="CommentText">
    <w:name w:val="annotation text"/>
    <w:basedOn w:val="Normal"/>
    <w:link w:val="CommentTextChar"/>
    <w:uiPriority w:val="99"/>
    <w:semiHidden/>
    <w:rsid w:val="00E82BC4"/>
    <w:rPr>
      <w:sz w:val="20"/>
    </w:rPr>
  </w:style>
  <w:style w:type="character" w:customStyle="1" w:styleId="CommentTextChar">
    <w:name w:val="Comment Text Char"/>
    <w:basedOn w:val="DefaultParagraphFont"/>
    <w:link w:val="CommentText"/>
    <w:uiPriority w:val="99"/>
    <w:semiHidden/>
    <w:rsid w:val="008023DC"/>
    <w:rPr>
      <w:rFonts w:ascii="Times New Roman" w:hAnsi="Times New Roman"/>
      <w:sz w:val="20"/>
      <w:szCs w:val="20"/>
      <w:lang w:eastAsia="ja-JP"/>
    </w:rPr>
  </w:style>
  <w:style w:type="paragraph" w:styleId="CommentSubject">
    <w:name w:val="annotation subject"/>
    <w:basedOn w:val="CommentText"/>
    <w:next w:val="CommentText"/>
    <w:link w:val="CommentSubjectChar"/>
    <w:uiPriority w:val="99"/>
    <w:semiHidden/>
    <w:rsid w:val="00E82BC4"/>
    <w:rPr>
      <w:b/>
      <w:bCs/>
    </w:rPr>
  </w:style>
  <w:style w:type="character" w:customStyle="1" w:styleId="CommentSubjectChar">
    <w:name w:val="Comment Subject Char"/>
    <w:basedOn w:val="CommentTextChar"/>
    <w:link w:val="CommentSubject"/>
    <w:uiPriority w:val="99"/>
    <w:semiHidden/>
    <w:rsid w:val="008023DC"/>
    <w:rPr>
      <w:rFonts w:ascii="Times New Roman" w:hAnsi="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546658">
      <w:marLeft w:val="0"/>
      <w:marRight w:val="0"/>
      <w:marTop w:val="0"/>
      <w:marBottom w:val="0"/>
      <w:divBdr>
        <w:top w:val="none" w:sz="0" w:space="0" w:color="auto"/>
        <w:left w:val="none" w:sz="0" w:space="0" w:color="auto"/>
        <w:bottom w:val="none" w:sz="0" w:space="0" w:color="auto"/>
        <w:right w:val="none" w:sz="0" w:space="0" w:color="auto"/>
      </w:divBdr>
      <w:divsChild>
        <w:div w:id="1735546660">
          <w:marLeft w:val="0"/>
          <w:marRight w:val="0"/>
          <w:marTop w:val="0"/>
          <w:marBottom w:val="0"/>
          <w:divBdr>
            <w:top w:val="none" w:sz="0" w:space="0" w:color="auto"/>
            <w:left w:val="none" w:sz="0" w:space="0" w:color="auto"/>
            <w:bottom w:val="none" w:sz="0" w:space="0" w:color="auto"/>
            <w:right w:val="none" w:sz="0" w:space="0" w:color="auto"/>
          </w:divBdr>
          <w:divsChild>
            <w:div w:id="1735546656">
              <w:marLeft w:val="0"/>
              <w:marRight w:val="0"/>
              <w:marTop w:val="0"/>
              <w:marBottom w:val="0"/>
              <w:divBdr>
                <w:top w:val="none" w:sz="0" w:space="0" w:color="auto"/>
                <w:left w:val="none" w:sz="0" w:space="0" w:color="auto"/>
                <w:bottom w:val="none" w:sz="0" w:space="0" w:color="auto"/>
                <w:right w:val="none" w:sz="0" w:space="0" w:color="auto"/>
              </w:divBdr>
              <w:divsChild>
                <w:div w:id="1735546664">
                  <w:marLeft w:val="0"/>
                  <w:marRight w:val="0"/>
                  <w:marTop w:val="0"/>
                  <w:marBottom w:val="0"/>
                  <w:divBdr>
                    <w:top w:val="none" w:sz="0" w:space="0" w:color="auto"/>
                    <w:left w:val="none" w:sz="0" w:space="0" w:color="auto"/>
                    <w:bottom w:val="none" w:sz="0" w:space="0" w:color="auto"/>
                    <w:right w:val="none" w:sz="0" w:space="0" w:color="auto"/>
                  </w:divBdr>
                  <w:divsChild>
                    <w:div w:id="1735546661">
                      <w:marLeft w:val="0"/>
                      <w:marRight w:val="0"/>
                      <w:marTop w:val="0"/>
                      <w:marBottom w:val="0"/>
                      <w:divBdr>
                        <w:top w:val="none" w:sz="0" w:space="0" w:color="auto"/>
                        <w:left w:val="none" w:sz="0" w:space="0" w:color="auto"/>
                        <w:bottom w:val="none" w:sz="0" w:space="0" w:color="auto"/>
                        <w:right w:val="none" w:sz="0" w:space="0" w:color="auto"/>
                      </w:divBdr>
                    </w:div>
                    <w:div w:id="17355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6666">
              <w:marLeft w:val="0"/>
              <w:marRight w:val="0"/>
              <w:marTop w:val="0"/>
              <w:marBottom w:val="0"/>
              <w:divBdr>
                <w:top w:val="none" w:sz="0" w:space="0" w:color="auto"/>
                <w:left w:val="none" w:sz="0" w:space="0" w:color="auto"/>
                <w:bottom w:val="none" w:sz="0" w:space="0" w:color="auto"/>
                <w:right w:val="none" w:sz="0" w:space="0" w:color="auto"/>
              </w:divBdr>
            </w:div>
          </w:divsChild>
        </w:div>
        <w:div w:id="1735546662">
          <w:marLeft w:val="0"/>
          <w:marRight w:val="0"/>
          <w:marTop w:val="0"/>
          <w:marBottom w:val="0"/>
          <w:divBdr>
            <w:top w:val="none" w:sz="0" w:space="0" w:color="auto"/>
            <w:left w:val="none" w:sz="0" w:space="0" w:color="auto"/>
            <w:bottom w:val="none" w:sz="0" w:space="0" w:color="auto"/>
            <w:right w:val="none" w:sz="0" w:space="0" w:color="auto"/>
          </w:divBdr>
        </w:div>
        <w:div w:id="1735546663">
          <w:marLeft w:val="0"/>
          <w:marRight w:val="0"/>
          <w:marTop w:val="0"/>
          <w:marBottom w:val="0"/>
          <w:divBdr>
            <w:top w:val="none" w:sz="0" w:space="0" w:color="auto"/>
            <w:left w:val="none" w:sz="0" w:space="0" w:color="auto"/>
            <w:bottom w:val="none" w:sz="0" w:space="0" w:color="auto"/>
            <w:right w:val="none" w:sz="0" w:space="0" w:color="auto"/>
          </w:divBdr>
          <w:divsChild>
            <w:div w:id="1735546655">
              <w:marLeft w:val="0"/>
              <w:marRight w:val="0"/>
              <w:marTop w:val="0"/>
              <w:marBottom w:val="0"/>
              <w:divBdr>
                <w:top w:val="none" w:sz="0" w:space="0" w:color="auto"/>
                <w:left w:val="none" w:sz="0" w:space="0" w:color="auto"/>
                <w:bottom w:val="none" w:sz="0" w:space="0" w:color="auto"/>
                <w:right w:val="none" w:sz="0" w:space="0" w:color="auto"/>
              </w:divBdr>
            </w:div>
            <w:div w:id="1735546659">
              <w:marLeft w:val="0"/>
              <w:marRight w:val="0"/>
              <w:marTop w:val="0"/>
              <w:marBottom w:val="0"/>
              <w:divBdr>
                <w:top w:val="none" w:sz="0" w:space="0" w:color="auto"/>
                <w:left w:val="none" w:sz="0" w:space="0" w:color="auto"/>
                <w:bottom w:val="none" w:sz="0" w:space="0" w:color="auto"/>
                <w:right w:val="none" w:sz="0" w:space="0" w:color="auto"/>
              </w:divBdr>
              <w:divsChild>
                <w:div w:id="17355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C\Downloads\ALC-LH-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B3A5C-BBCD-FF40-B0FF-B05FFB71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\Users\AngelaC\Downloads\ALC-LH-corrected.dotx</Template>
  <TotalTime>10</TotalTime>
  <Pages>3</Pages>
  <Words>957</Words>
  <Characters>5458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[Click here and type body text]</vt:lpstr>
    </vt:vector>
  </TitlesOfParts>
  <Company>Bernhardt Fudyma Design Group</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body text]</dc:title>
  <dc:creator>AngelaC</dc:creator>
  <cp:lastModifiedBy>Angela Chan</cp:lastModifiedBy>
  <cp:revision>4</cp:revision>
  <cp:lastPrinted>2014-10-29T23:36:00Z</cp:lastPrinted>
  <dcterms:created xsi:type="dcterms:W3CDTF">2014-12-18T06:46:00Z</dcterms:created>
  <dcterms:modified xsi:type="dcterms:W3CDTF">2014-12-18T06:55:00Z</dcterms:modified>
</cp:coreProperties>
</file>